
<file path=[Content_Types].xml><?xml version="1.0" encoding="utf-8"?>
<Types xmlns="http://schemas.openxmlformats.org/package/2006/content-types">
  <Default Extension="bin" ContentType="application/vnd.openxmlformats-officedocument.oleObject"/>
  <Default Extension="png" ContentType="image/png"/>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charts/chart3.xml" ContentType="application/vnd.openxmlformats-officedocument.drawingml.chart+xml"/>
  <Override PartName="/word/theme/themeOverride3.xml" ContentType="application/vnd.openxmlformats-officedocument.themeOverride+xml"/>
  <Override PartName="/word/charts/chart4.xml" ContentType="application/vnd.openxmlformats-officedocument.drawingml.chart+xml"/>
  <Override PartName="/word/theme/themeOverride4.xml" ContentType="application/vnd.openxmlformats-officedocument.themeOverride+xml"/>
  <Override PartName="/word/charts/chart5.xml" ContentType="application/vnd.openxmlformats-officedocument.drawingml.chart+xml"/>
  <Override PartName="/word/theme/themeOverride5.xml" ContentType="application/vnd.openxmlformats-officedocument.themeOverride+xml"/>
  <Override PartName="/word/charts/chart6.xml" ContentType="application/vnd.openxmlformats-officedocument.drawingml.chart+xml"/>
  <Override PartName="/word/theme/themeOverride6.xml" ContentType="application/vnd.openxmlformats-officedocument.themeOverride+xml"/>
  <Override PartName="/word/drawings/drawing1.xml" ContentType="application/vnd.openxmlformats-officedocument.drawingml.chartshap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E1009" w:rsidRPr="00277376" w:rsidRDefault="000E1009" w:rsidP="000E1009">
      <w:pPr>
        <w:pBdr>
          <w:top w:val="double" w:sz="12" w:space="1" w:color="FF0000"/>
          <w:left w:val="double" w:sz="12" w:space="0" w:color="FF0000"/>
          <w:bottom w:val="double" w:sz="12" w:space="1" w:color="FF0000"/>
          <w:right w:val="double" w:sz="12" w:space="4" w:color="FF0000"/>
        </w:pBdr>
        <w:rPr>
          <w:color w:val="FF0000"/>
          <w:sz w:val="24"/>
          <w:szCs w:val="24"/>
        </w:rPr>
      </w:pPr>
      <w:r w:rsidRPr="00277376">
        <w:rPr>
          <w:rFonts w:hint="eastAsia"/>
          <w:color w:val="FF0000"/>
          <w:sz w:val="24"/>
          <w:szCs w:val="24"/>
        </w:rPr>
        <w:t>安倍政権続投は戦争への道。安倍政権続投で民主主義は終わる</w:t>
      </w:r>
    </w:p>
    <w:p w:rsidR="000E1009" w:rsidRPr="008768A0" w:rsidRDefault="000E1009">
      <w:pPr>
        <w:rPr>
          <w:color w:val="FF0000"/>
        </w:rPr>
      </w:pPr>
    </w:p>
    <w:p w:rsidR="000E1009" w:rsidRDefault="000E1009">
      <w:r>
        <w:rPr>
          <w:rFonts w:hint="eastAsia"/>
        </w:rPr>
        <w:t xml:space="preserve">　この解散は、憲政史上まれに見る、権力者の私利私欲による解散である。消費税率引き上げの延期は、法律で経済状況を見て決めればよいと書いてあり、いちいち解散によって民意を問う必要はない。現在、衆参両院で与党は安定多数を持っており、「決められる政治」が可能である。わざわざ解散する必要はない。</w:t>
      </w:r>
    </w:p>
    <w:p w:rsidR="000E1009" w:rsidRDefault="000E1009">
      <w:r>
        <w:rPr>
          <w:rFonts w:hint="eastAsia"/>
        </w:rPr>
        <w:t xml:space="preserve">　結局、閣僚の資金スキャンダルの続発と、景気下降によって支持が低下することが予想される中、野党の態勢ができていないうちに解散し、権力基盤を維持したいということ以外に説明がつかない。</w:t>
      </w:r>
    </w:p>
    <w:p w:rsidR="000E1009" w:rsidRDefault="000E1009">
      <w:r>
        <w:rPr>
          <w:rFonts w:hint="eastAsia"/>
        </w:rPr>
        <w:t xml:space="preserve">　安倍政権は、過去</w:t>
      </w:r>
      <w:r>
        <w:rPr>
          <w:rFonts w:hint="eastAsia"/>
        </w:rPr>
        <w:t>2</w:t>
      </w:r>
      <w:r>
        <w:rPr>
          <w:rFonts w:hint="eastAsia"/>
        </w:rPr>
        <w:t>年間、前回の総選挙で国民に約束していない特定秘密保護法制定、集団的自衛権行使容認、川内原発再稼働など、国民の自由と生命、さらに日本の平和を脅かすような重大な政策転換を進めた。訳の分からない総選挙であっても、そこで政権を維持できれば、首相は国民の信任を得たと主張して、自分の行動をすべて正当化するだろう。だから、この選挙でさらに安倍政権に白紙委任を与えれば、安倍首相は憲法改正など一層の暴走を続けるに違いない。</w:t>
      </w:r>
    </w:p>
    <w:p w:rsidR="000E1009" w:rsidRDefault="000E1009">
      <w:r>
        <w:rPr>
          <w:rFonts w:hint="eastAsia"/>
        </w:rPr>
        <w:t xml:space="preserve">　安倍政権にやすやすと多数を与えることは、自由と民主主義を捨て去ることを意味する。争点がないなどとのんきなことを言っている余裕はない。</w:t>
      </w:r>
    </w:p>
    <w:p w:rsidR="000E1009" w:rsidRDefault="000E1009"/>
    <w:p w:rsidR="000E1009" w:rsidRDefault="000E1009"/>
    <w:p w:rsidR="000E1009" w:rsidRDefault="000E1009" w:rsidP="004700BF">
      <w:pPr>
        <w:pBdr>
          <w:top w:val="single" w:sz="18" w:space="1" w:color="auto"/>
          <w:left w:val="single" w:sz="18" w:space="4" w:color="auto"/>
          <w:bottom w:val="single" w:sz="18" w:space="1" w:color="auto"/>
          <w:right w:val="single" w:sz="18" w:space="4" w:color="auto"/>
        </w:pBdr>
      </w:pPr>
      <w:r>
        <w:rPr>
          <w:rFonts w:hint="eastAsia"/>
        </w:rPr>
        <w:t>【</w:t>
      </w:r>
      <w:r w:rsidRPr="00FE6D17">
        <w:rPr>
          <w:rFonts w:hint="eastAsia"/>
        </w:rPr>
        <w:t>朝日新聞１１月２１日朝刊</w:t>
      </w:r>
      <w:r>
        <w:rPr>
          <w:rFonts w:hint="eastAsia"/>
        </w:rPr>
        <w:t>】</w:t>
      </w:r>
    </w:p>
    <w:p w:rsidR="000E1009" w:rsidRDefault="000E1009" w:rsidP="004700BF">
      <w:pPr>
        <w:pBdr>
          <w:top w:val="single" w:sz="18" w:space="1" w:color="auto"/>
          <w:left w:val="single" w:sz="18" w:space="4" w:color="auto"/>
          <w:bottom w:val="single" w:sz="18" w:space="1" w:color="auto"/>
          <w:right w:val="single" w:sz="18" w:space="4" w:color="auto"/>
        </w:pBdr>
      </w:pPr>
    </w:p>
    <w:p w:rsidR="000E1009" w:rsidRDefault="000E1009" w:rsidP="004700BF">
      <w:pPr>
        <w:pBdr>
          <w:top w:val="single" w:sz="18" w:space="1" w:color="auto"/>
          <w:left w:val="single" w:sz="18" w:space="4" w:color="auto"/>
          <w:bottom w:val="single" w:sz="18" w:space="1" w:color="auto"/>
          <w:right w:val="single" w:sz="18" w:space="4" w:color="auto"/>
        </w:pBdr>
      </w:pPr>
      <w:r w:rsidRPr="00F0176B">
        <w:rPr>
          <w:rFonts w:hint="eastAsia"/>
        </w:rPr>
        <w:t>この時期に解散・総選挙をすることに「反対」は</w:t>
      </w:r>
      <w:r w:rsidR="00277376">
        <w:rPr>
          <w:rFonts w:hint="eastAsia"/>
        </w:rPr>
        <w:t>62</w:t>
      </w:r>
      <w:r w:rsidRPr="00F0176B">
        <w:rPr>
          <w:rFonts w:hint="eastAsia"/>
        </w:rPr>
        <w:t>％で、「賛成」の</w:t>
      </w:r>
      <w:r w:rsidR="00277376">
        <w:rPr>
          <w:rFonts w:hint="eastAsia"/>
        </w:rPr>
        <w:t>18</w:t>
      </w:r>
      <w:r w:rsidRPr="00F0176B">
        <w:rPr>
          <w:rFonts w:hint="eastAsia"/>
        </w:rPr>
        <w:t>％を大きく上回った。消費増税の延期について「国民に信を問う」という解散理由に「納得する」は</w:t>
      </w:r>
      <w:r w:rsidR="00277376">
        <w:rPr>
          <w:rFonts w:hint="eastAsia"/>
        </w:rPr>
        <w:t>25</w:t>
      </w:r>
      <w:r w:rsidRPr="00F0176B">
        <w:rPr>
          <w:rFonts w:hint="eastAsia"/>
        </w:rPr>
        <w:t>％で、「納得しない」の</w:t>
      </w:r>
      <w:r w:rsidR="00277376">
        <w:rPr>
          <w:rFonts w:hint="eastAsia"/>
        </w:rPr>
        <w:t>65</w:t>
      </w:r>
      <w:r w:rsidRPr="00F0176B">
        <w:rPr>
          <w:rFonts w:hint="eastAsia"/>
        </w:rPr>
        <w:t>％が上回った。</w:t>
      </w:r>
    </w:p>
    <w:p w:rsidR="000E1009" w:rsidRDefault="000E1009" w:rsidP="004700BF">
      <w:pPr>
        <w:pBdr>
          <w:top w:val="single" w:sz="18" w:space="1" w:color="auto"/>
          <w:left w:val="single" w:sz="18" w:space="4" w:color="auto"/>
          <w:bottom w:val="single" w:sz="18" w:space="1" w:color="auto"/>
          <w:right w:val="single" w:sz="18" w:space="4" w:color="auto"/>
        </w:pBdr>
      </w:pPr>
    </w:p>
    <w:p w:rsidR="000E1009" w:rsidRDefault="000E1009"/>
    <w:p w:rsidR="000E1009" w:rsidRDefault="000E1009"/>
    <w:p w:rsidR="000E1009" w:rsidRDefault="000E1009"/>
    <w:p w:rsidR="000E1009" w:rsidRDefault="000E1009" w:rsidP="008768A0">
      <w:pPr>
        <w:jc w:val="center"/>
      </w:pPr>
      <w:r>
        <w:rPr>
          <w:noProof/>
        </w:rPr>
        <w:drawing>
          <wp:inline distT="0" distB="0" distL="0" distR="0" wp14:anchorId="61132EA8" wp14:editId="37F1BBF9">
            <wp:extent cx="4905375" cy="1666875"/>
            <wp:effectExtent l="0" t="0" r="9525" b="9525"/>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アベノミクス評価　朝日新聞.JPG"/>
                    <pic:cNvPicPr/>
                  </pic:nvPicPr>
                  <pic:blipFill>
                    <a:blip r:embed="rId7">
                      <a:extLst>
                        <a:ext uri="{28A0092B-C50C-407E-A947-70E740481C1C}">
                          <a14:useLocalDpi xmlns:a14="http://schemas.microsoft.com/office/drawing/2010/main" val="0"/>
                        </a:ext>
                      </a:extLst>
                    </a:blip>
                    <a:stretch>
                      <a:fillRect/>
                    </a:stretch>
                  </pic:blipFill>
                  <pic:spPr>
                    <a:xfrm>
                      <a:off x="0" y="0"/>
                      <a:ext cx="4905375" cy="1666875"/>
                    </a:xfrm>
                    <a:prstGeom prst="rect">
                      <a:avLst/>
                    </a:prstGeom>
                  </pic:spPr>
                </pic:pic>
              </a:graphicData>
            </a:graphic>
          </wp:inline>
        </w:drawing>
      </w:r>
    </w:p>
    <w:p w:rsidR="000E1009" w:rsidRDefault="000E1009">
      <w:pPr>
        <w:widowControl/>
        <w:jc w:val="left"/>
      </w:pPr>
      <w:r>
        <w:br w:type="page"/>
      </w:r>
    </w:p>
    <w:p w:rsidR="000E1009" w:rsidRPr="00277376" w:rsidRDefault="000E1009" w:rsidP="00771F93">
      <w:pPr>
        <w:pBdr>
          <w:top w:val="double" w:sz="12" w:space="1" w:color="FF0000"/>
          <w:left w:val="double" w:sz="12" w:space="4" w:color="FF0000"/>
          <w:bottom w:val="double" w:sz="12" w:space="1" w:color="FF0000"/>
          <w:right w:val="double" w:sz="12" w:space="4" w:color="FF0000"/>
        </w:pBdr>
        <w:rPr>
          <w:sz w:val="24"/>
          <w:szCs w:val="24"/>
        </w:rPr>
      </w:pPr>
      <w:r w:rsidRPr="00277376">
        <w:rPr>
          <w:rFonts w:hint="eastAsia"/>
          <w:color w:val="FF0000"/>
          <w:sz w:val="24"/>
          <w:szCs w:val="24"/>
        </w:rPr>
        <w:lastRenderedPageBreak/>
        <w:t>「ぶっちゃけ解散」はスキャンダル隠し・争点隠し・国民経済の軽視だ</w:t>
      </w:r>
    </w:p>
    <w:p w:rsidR="000E1009" w:rsidRDefault="000E1009" w:rsidP="000E1009">
      <w:pPr>
        <w:ind w:firstLineChars="100" w:firstLine="210"/>
      </w:pPr>
    </w:p>
    <w:p w:rsidR="000E1009" w:rsidRDefault="000E1009" w:rsidP="000E1009">
      <w:pPr>
        <w:ind w:firstLineChars="100" w:firstLine="210"/>
      </w:pPr>
      <w:r w:rsidRPr="00800200">
        <w:rPr>
          <w:rFonts w:hint="eastAsia"/>
        </w:rPr>
        <w:t>今回の解散の背景は、政治資金に関わるスキャンダルで支持率が低下し始め、第一次安倍政権の様子と類似してきたことにある。政治資金関係の疑惑・疑問に応え、処罰と再発防止をする姿勢は全くみられない。税金や献金という公的な資金の不正利用の指摘を「誹謗中傷」と捉える視座は、政治家が何に依って立つのか、ということに対する感覚・謙虚さの欠如を示している。総選挙が不正行為を免責することはない。</w:t>
      </w:r>
    </w:p>
    <w:p w:rsidR="000E1009" w:rsidRDefault="000E1009" w:rsidP="000E1009">
      <w:pPr>
        <w:ind w:firstLineChars="100" w:firstLine="210"/>
      </w:pPr>
      <w:r w:rsidRPr="00800200">
        <w:rPr>
          <w:rFonts w:hint="eastAsia"/>
        </w:rPr>
        <w:t>今年度は消費税、次年度には、国民に評判の悪い集団的自衛権に関わる安全保障関連の法改正が待っている。</w:t>
      </w:r>
      <w:r>
        <w:rPr>
          <w:rFonts w:hint="eastAsia"/>
        </w:rPr>
        <w:t>今回の解散は、</w:t>
      </w:r>
      <w:r w:rsidRPr="00800200">
        <w:rPr>
          <w:rFonts w:hint="eastAsia"/>
        </w:rPr>
        <w:t>支持率が下がり、追い込まれての解散となる前の不意打ちの解散</w:t>
      </w:r>
      <w:r>
        <w:rPr>
          <w:rFonts w:hint="eastAsia"/>
        </w:rPr>
        <w:t>であり、</w:t>
      </w:r>
      <w:r w:rsidRPr="00800200">
        <w:rPr>
          <w:rFonts w:hint="eastAsia"/>
        </w:rPr>
        <w:t>消費税の増税延期を理由にしているが、それでは、なぜ選挙公約にない特定秘密保護法や集団的自衛行使を容認する閣議決定で解散をしなかったのか。首相の個人的理由以外に解散をする理由が見当たらない。</w:t>
      </w:r>
    </w:p>
    <w:p w:rsidR="000E1009" w:rsidRDefault="000E1009" w:rsidP="000E1009">
      <w:pPr>
        <w:ind w:firstLineChars="100" w:firstLine="210"/>
      </w:pPr>
      <w:r>
        <w:rPr>
          <w:rFonts w:hint="eastAsia"/>
        </w:rPr>
        <w:t>本当のテーマは後景に隠し、過半数を得れば、全てのテーマについて正当性を主張しよ</w:t>
      </w:r>
    </w:p>
    <w:p w:rsidR="000E1009" w:rsidRDefault="000E1009" w:rsidP="00771F93">
      <w:r>
        <w:rPr>
          <w:rFonts w:hint="eastAsia"/>
        </w:rPr>
        <w:t>うとしている。有権者に考える時間を与えないだまし討ち解散は、野党ではなく、国民に対して、有権者の信頼を獲得する意思を全く示していない。</w:t>
      </w:r>
    </w:p>
    <w:p w:rsidR="000E1009" w:rsidRDefault="000E1009" w:rsidP="00771F93">
      <w:r>
        <w:rPr>
          <w:rFonts w:hint="eastAsia"/>
        </w:rPr>
        <w:t xml:space="preserve">　</w:t>
      </w:r>
      <w:r w:rsidRPr="00DB041C">
        <w:rPr>
          <w:rFonts w:hint="eastAsia"/>
        </w:rPr>
        <w:t>解散権とは、民意を問うデモクラシーの基本であり、有権者が政権の業績を評価し、国の将来の方向性を選択する重大な機会と同時に、政治家への信頼が低下するなかで、選挙は政治家が有権者からの信頼を確認し、これを得る努力をする機会でもある。</w:t>
      </w:r>
    </w:p>
    <w:p w:rsidR="000E1009" w:rsidRDefault="000E1009" w:rsidP="000E1009">
      <w:pPr>
        <w:ind w:firstLineChars="100" w:firstLine="210"/>
      </w:pPr>
      <w:r>
        <w:rPr>
          <w:rFonts w:hint="eastAsia"/>
        </w:rPr>
        <w:t>今回の解散は、「ぶっちゃけ」、一番安倍氏率いる自民党が勝てるタイミングだから、という以外に理由はなく、それを隠すこともしない。</w:t>
      </w:r>
    </w:p>
    <w:p w:rsidR="000E1009" w:rsidRDefault="000E1009" w:rsidP="000E1009">
      <w:pPr>
        <w:ind w:firstLineChars="100" w:firstLine="210"/>
      </w:pPr>
      <w:r>
        <w:rPr>
          <w:rFonts w:hint="eastAsia"/>
        </w:rPr>
        <w:t>なぜこのような「ぶっちゃけ解散」、「ぶっちゃけ政治」が可能かというと、対抗軸を示せず、弱小で、分裂している野党を相手にするかぎり過半数割れしないという自信が背景にある。</w:t>
      </w:r>
    </w:p>
    <w:p w:rsidR="000E1009" w:rsidRDefault="000E1009" w:rsidP="000E1009">
      <w:pPr>
        <w:ind w:firstLineChars="100" w:firstLine="210"/>
      </w:pPr>
      <w:r>
        <w:rPr>
          <w:rFonts w:hint="eastAsia"/>
        </w:rPr>
        <w:t>今回の解散は、デモクラシーへの侮蔑であり、デモクラシーの実質的な空洞化を狙う行為といえる。こんな暴挙を許してはならない。</w:t>
      </w:r>
    </w:p>
    <w:p w:rsidR="000E1009" w:rsidRDefault="000E1009" w:rsidP="00771F93"/>
    <w:p w:rsidR="00547E84" w:rsidRDefault="00547E84" w:rsidP="00771F93"/>
    <w:p w:rsidR="00547E84" w:rsidRDefault="00547E84" w:rsidP="00771F93"/>
    <w:p w:rsidR="009845FA" w:rsidRDefault="009845FA" w:rsidP="00771F93">
      <w:pPr>
        <w:pBdr>
          <w:top w:val="single" w:sz="18" w:space="1" w:color="auto"/>
          <w:left w:val="single" w:sz="18" w:space="4" w:color="auto"/>
          <w:bottom w:val="single" w:sz="18" w:space="1" w:color="auto"/>
          <w:right w:val="single" w:sz="18" w:space="4" w:color="auto"/>
        </w:pBdr>
      </w:pPr>
    </w:p>
    <w:p w:rsidR="000E1009" w:rsidRDefault="00547E84" w:rsidP="00771F93">
      <w:pPr>
        <w:pBdr>
          <w:top w:val="single" w:sz="18" w:space="1" w:color="auto"/>
          <w:left w:val="single" w:sz="18" w:space="4" w:color="auto"/>
          <w:bottom w:val="single" w:sz="18" w:space="1" w:color="auto"/>
          <w:right w:val="single" w:sz="18" w:space="4" w:color="auto"/>
        </w:pBdr>
      </w:pPr>
      <w:r w:rsidRPr="00547E84">
        <w:rPr>
          <w:rFonts w:hint="eastAsia"/>
        </w:rPr>
        <w:t>「解散は、憲法六九条の場合を除けば、①衆議院で内閣の重要案件（法律案、予算等）が否決され、または審議未了になった場合、②政界再編成等により内閣の性格が基本的に変わった場合、③総選挙の争点でなかった新しい重大な政治的課題（立法、条約締結等）に対処する場合、④内閣が基本政策を根本的に変更する場合、⑤議員の任期満了時期が接近している場合、などに限られると解すべきであり、内閣の一方的な都合や党利党略で行われる解散は、不当である」</w:t>
      </w:r>
    </w:p>
    <w:p w:rsidR="00547E84" w:rsidRDefault="00547E84" w:rsidP="00771F93">
      <w:pPr>
        <w:pBdr>
          <w:top w:val="single" w:sz="18" w:space="1" w:color="auto"/>
          <w:left w:val="single" w:sz="18" w:space="4" w:color="auto"/>
          <w:bottom w:val="single" w:sz="18" w:space="1" w:color="auto"/>
          <w:right w:val="single" w:sz="18" w:space="4" w:color="auto"/>
        </w:pBdr>
      </w:pPr>
    </w:p>
    <w:p w:rsidR="00547E84" w:rsidRDefault="00547E84" w:rsidP="00771F93">
      <w:pPr>
        <w:pBdr>
          <w:top w:val="single" w:sz="18" w:space="1" w:color="auto"/>
          <w:left w:val="single" w:sz="18" w:space="4" w:color="auto"/>
          <w:bottom w:val="single" w:sz="18" w:space="1" w:color="auto"/>
          <w:right w:val="single" w:sz="18" w:space="4" w:color="auto"/>
        </w:pBdr>
      </w:pPr>
      <w:r w:rsidRPr="00547E84">
        <w:t>[</w:t>
      </w:r>
      <w:proofErr w:type="spellStart"/>
      <w:r w:rsidRPr="00547E84">
        <w:t>i</w:t>
      </w:r>
      <w:proofErr w:type="spellEnd"/>
      <w:r w:rsidRPr="00547E84">
        <w:t>]</w:t>
      </w:r>
      <w:r w:rsidRPr="00547E84">
        <w:rPr>
          <w:rFonts w:hint="eastAsia"/>
        </w:rPr>
        <w:t xml:space="preserve"> </w:t>
      </w:r>
      <w:r w:rsidRPr="00547E84">
        <w:rPr>
          <w:rFonts w:hint="eastAsia"/>
        </w:rPr>
        <w:t>芦部信喜〔高橋和之補訂〕（</w:t>
      </w:r>
      <w:r w:rsidR="009845FA">
        <w:rPr>
          <w:rFonts w:hint="eastAsia"/>
        </w:rPr>
        <w:t>2011</w:t>
      </w:r>
      <w:r w:rsidRPr="00547E84">
        <w:rPr>
          <w:rFonts w:hint="eastAsia"/>
        </w:rPr>
        <w:t>年）『憲法（第</w:t>
      </w:r>
      <w:r w:rsidR="009845FA">
        <w:rPr>
          <w:rFonts w:hint="eastAsia"/>
        </w:rPr>
        <w:t>5</w:t>
      </w:r>
      <w:r w:rsidRPr="00547E84">
        <w:rPr>
          <w:rFonts w:hint="eastAsia"/>
        </w:rPr>
        <w:t>版）』、</w:t>
      </w:r>
      <w:r w:rsidR="009845FA">
        <w:rPr>
          <w:rFonts w:hint="eastAsia"/>
        </w:rPr>
        <w:t>325</w:t>
      </w:r>
      <w:r w:rsidRPr="00547E84">
        <w:rPr>
          <w:rFonts w:hint="eastAsia"/>
        </w:rPr>
        <w:t>頁。</w:t>
      </w:r>
    </w:p>
    <w:p w:rsidR="009845FA" w:rsidRPr="00547E84" w:rsidRDefault="009845FA" w:rsidP="00771F93">
      <w:pPr>
        <w:pBdr>
          <w:top w:val="single" w:sz="18" w:space="1" w:color="auto"/>
          <w:left w:val="single" w:sz="18" w:space="4" w:color="auto"/>
          <w:bottom w:val="single" w:sz="18" w:space="1" w:color="auto"/>
          <w:right w:val="single" w:sz="18" w:space="4" w:color="auto"/>
        </w:pBdr>
      </w:pPr>
    </w:p>
    <w:p w:rsidR="000E1009" w:rsidRDefault="000E1009">
      <w:pPr>
        <w:widowControl/>
        <w:jc w:val="left"/>
      </w:pPr>
      <w:r>
        <w:br w:type="page"/>
      </w:r>
    </w:p>
    <w:p w:rsidR="000E1009" w:rsidRPr="00277376" w:rsidRDefault="000E1009" w:rsidP="00771F93">
      <w:pPr>
        <w:pBdr>
          <w:top w:val="double" w:sz="12" w:space="1" w:color="FF0000"/>
          <w:left w:val="double" w:sz="12" w:space="4" w:color="FF0000"/>
          <w:bottom w:val="double" w:sz="12" w:space="1" w:color="FF0000"/>
          <w:right w:val="double" w:sz="12" w:space="4" w:color="FF0000"/>
        </w:pBdr>
        <w:rPr>
          <w:sz w:val="24"/>
          <w:szCs w:val="24"/>
        </w:rPr>
      </w:pPr>
      <w:r w:rsidRPr="00277376">
        <w:rPr>
          <w:rFonts w:hint="eastAsia"/>
          <w:color w:val="FF0000"/>
          <w:sz w:val="24"/>
          <w:szCs w:val="24"/>
        </w:rPr>
        <w:lastRenderedPageBreak/>
        <w:t>かつての寛容を失ってしまった自民党。民主党は多様な人々の共生をめざす</w:t>
      </w:r>
    </w:p>
    <w:p w:rsidR="000E1009" w:rsidRDefault="000E1009" w:rsidP="00771F93"/>
    <w:p w:rsidR="000E1009" w:rsidRDefault="000E1009" w:rsidP="00771F93">
      <w:r>
        <w:rPr>
          <w:rFonts w:hint="eastAsia"/>
        </w:rPr>
        <w:t xml:space="preserve">　昔の自民党は幅のある懐の深い政党だった。色々と問題があったにせよ、派閥が切磋琢磨して、多様な国民の声を代弁し、まさに自由で民主主義的な日本を築いてきた。しかし、高市大臣、山谷大臣、稲田政調会長の極右とのツーショット写真を思い出して欲しい。安倍首相率いる現在の自民党は、すっかり右寄りの狭量な政党に変わってしまった。</w:t>
      </w:r>
    </w:p>
    <w:p w:rsidR="000E1009" w:rsidRPr="00D914AA" w:rsidRDefault="000E1009" w:rsidP="00771F93">
      <w:r>
        <w:rPr>
          <w:rFonts w:hint="eastAsia"/>
        </w:rPr>
        <w:t xml:space="preserve">　皮肉なことに、それはまるで安倍</w:t>
      </w:r>
      <w:r w:rsidR="00A15337">
        <w:rPr>
          <w:rFonts w:hint="eastAsia"/>
        </w:rPr>
        <w:t>首相</w:t>
      </w:r>
      <w:r>
        <w:rPr>
          <w:rFonts w:hint="eastAsia"/>
        </w:rPr>
        <w:t>が嫌いな中国共産党と瓜二つではないか。ナショナリズムを煽りたてる。富めるものに優しく、庶民に厳しい格差社会。一党独裁も同じで、さらにいえば、安倍</w:t>
      </w:r>
      <w:r w:rsidR="00A15337">
        <w:rPr>
          <w:rFonts w:hint="eastAsia"/>
        </w:rPr>
        <w:t>首相</w:t>
      </w:r>
      <w:r>
        <w:rPr>
          <w:rFonts w:hint="eastAsia"/>
        </w:rPr>
        <w:t>も、かの国の指導者も同じく二世だ。</w:t>
      </w:r>
    </w:p>
    <w:p w:rsidR="000E1009" w:rsidRDefault="000E1009" w:rsidP="00771F93">
      <w:r>
        <w:rPr>
          <w:rFonts w:hint="eastAsia"/>
        </w:rPr>
        <w:t xml:space="preserve">　それに対して民主党は、和の精神を尊ぶ、八百万（やおよろず）の神を敬う、そうした本来の日本を取り戻す。多様な人々が互いに支え合う。この寒空のなか、貧しい人、困った人に手を差し伸べる。民主党が目指すのは、そんな温かい共生社会である。隣国の関係でも、言うべきことをきちんといいながら、互いに歩み寄らなければならない。</w:t>
      </w:r>
    </w:p>
    <w:p w:rsidR="000E1009" w:rsidRDefault="000E1009" w:rsidP="00771F93">
      <w:r>
        <w:rPr>
          <w:rFonts w:hint="eastAsia"/>
        </w:rPr>
        <w:t xml:space="preserve">　官僚が持つ情報を国民から遠ざける特定秘密保護法、立憲主義を否定する集団的自衛権についての閣議決定、そして今回の大義なき解散総選挙。安倍首相の暴走は目に余るばかりだ。自民党のハト派は力をなくしている。公明党もブレーキ役になっていない。今、ス</w:t>
      </w:r>
    </w:p>
    <w:p w:rsidR="000E1009" w:rsidRDefault="000E1009" w:rsidP="00771F93">
      <w:r>
        <w:rPr>
          <w:rFonts w:hint="eastAsia"/>
        </w:rPr>
        <w:t>トップをかけられるのは、民主党しかない。</w:t>
      </w:r>
    </w:p>
    <w:p w:rsidR="000E1009" w:rsidRDefault="000E1009" w:rsidP="00771F93"/>
    <w:p w:rsidR="000E1009" w:rsidRDefault="000E1009" w:rsidP="00771F93"/>
    <w:p w:rsidR="000E1009" w:rsidRDefault="000E1009" w:rsidP="00771F93"/>
    <w:p w:rsidR="000E1009" w:rsidRDefault="000E1009" w:rsidP="00771F93"/>
    <w:p w:rsidR="000E1009" w:rsidRDefault="000E1009" w:rsidP="00771F93">
      <w:pPr>
        <w:pBdr>
          <w:top w:val="single" w:sz="24" w:space="1" w:color="auto"/>
          <w:left w:val="single" w:sz="24" w:space="4" w:color="auto"/>
          <w:bottom w:val="single" w:sz="24" w:space="1" w:color="auto"/>
          <w:right w:val="single" w:sz="24" w:space="4" w:color="auto"/>
        </w:pBdr>
      </w:pPr>
      <w:r>
        <w:rPr>
          <w:rFonts w:hint="eastAsia"/>
        </w:rPr>
        <w:t>【不安の声は自民党の内部からも出ている】</w:t>
      </w:r>
    </w:p>
    <w:p w:rsidR="000E1009" w:rsidRPr="008F5144" w:rsidRDefault="000E1009" w:rsidP="00771F93">
      <w:pPr>
        <w:pBdr>
          <w:top w:val="single" w:sz="24" w:space="1" w:color="auto"/>
          <w:left w:val="single" w:sz="24" w:space="4" w:color="auto"/>
          <w:bottom w:val="single" w:sz="24" w:space="1" w:color="auto"/>
          <w:right w:val="single" w:sz="24" w:space="4" w:color="auto"/>
        </w:pBdr>
      </w:pPr>
    </w:p>
    <w:p w:rsidR="000E1009" w:rsidRDefault="000E1009" w:rsidP="00771F93">
      <w:pPr>
        <w:pBdr>
          <w:top w:val="single" w:sz="24" w:space="1" w:color="auto"/>
          <w:left w:val="single" w:sz="24" w:space="4" w:color="auto"/>
          <w:bottom w:val="single" w:sz="24" w:space="1" w:color="auto"/>
          <w:right w:val="single" w:sz="24" w:space="4" w:color="auto"/>
        </w:pBdr>
      </w:pPr>
      <w:r>
        <w:rPr>
          <w:rFonts w:hint="eastAsia"/>
        </w:rPr>
        <w:t>河野洋平（元総裁）「現在の自民党は、議員の数は多いのですが、意見の多様性に乏しい、単細胞の政党になってしまっています。現在の政権に対する国民の不安感や不信感をしっかり受け止めて、謙虚に議論を進めていってほしいと思います」（『世界』</w:t>
      </w:r>
      <w:r>
        <w:rPr>
          <w:rFonts w:hint="eastAsia"/>
        </w:rPr>
        <w:t>2014</w:t>
      </w:r>
      <w:r>
        <w:rPr>
          <w:rFonts w:hint="eastAsia"/>
        </w:rPr>
        <w:t>年</w:t>
      </w:r>
      <w:r>
        <w:rPr>
          <w:rFonts w:hint="eastAsia"/>
        </w:rPr>
        <w:t>5</w:t>
      </w:r>
      <w:r>
        <w:rPr>
          <w:rFonts w:hint="eastAsia"/>
        </w:rPr>
        <w:t>月号）。</w:t>
      </w:r>
    </w:p>
    <w:p w:rsidR="000E1009" w:rsidRDefault="000E1009" w:rsidP="00771F93">
      <w:pPr>
        <w:pBdr>
          <w:top w:val="single" w:sz="24" w:space="1" w:color="auto"/>
          <w:left w:val="single" w:sz="24" w:space="4" w:color="auto"/>
          <w:bottom w:val="single" w:sz="24" w:space="1" w:color="auto"/>
          <w:right w:val="single" w:sz="24" w:space="4" w:color="auto"/>
        </w:pBdr>
      </w:pPr>
    </w:p>
    <w:p w:rsidR="000E1009" w:rsidRDefault="000E1009" w:rsidP="00771F93">
      <w:pPr>
        <w:pBdr>
          <w:top w:val="single" w:sz="24" w:space="1" w:color="auto"/>
          <w:left w:val="single" w:sz="24" w:space="4" w:color="auto"/>
          <w:bottom w:val="single" w:sz="24" w:space="1" w:color="auto"/>
          <w:right w:val="single" w:sz="24" w:space="4" w:color="auto"/>
        </w:pBdr>
      </w:pPr>
      <w:r>
        <w:rPr>
          <w:rFonts w:hint="eastAsia"/>
        </w:rPr>
        <w:t>古賀誠（元幹事長）「安倍総理の哲学、信念なんでしょうが、政権発足後の右傾化のテンポがいくらなんでも速すぎます。……今の姿勢はきわめて危険だし、暴走といわざるを得ません」（『週刊朝日』</w:t>
      </w:r>
      <w:r>
        <w:rPr>
          <w:rFonts w:hint="eastAsia"/>
        </w:rPr>
        <w:t>2014</w:t>
      </w:r>
      <w:r>
        <w:rPr>
          <w:rFonts w:hint="eastAsia"/>
        </w:rPr>
        <w:t>年</w:t>
      </w:r>
      <w:r>
        <w:rPr>
          <w:rFonts w:hint="eastAsia"/>
        </w:rPr>
        <w:t>5</w:t>
      </w:r>
      <w:r>
        <w:rPr>
          <w:rFonts w:hint="eastAsia"/>
        </w:rPr>
        <w:t>月</w:t>
      </w:r>
      <w:r>
        <w:rPr>
          <w:rFonts w:hint="eastAsia"/>
        </w:rPr>
        <w:t>23</w:t>
      </w:r>
      <w:r>
        <w:rPr>
          <w:rFonts w:hint="eastAsia"/>
        </w:rPr>
        <w:t>日号）</w:t>
      </w:r>
    </w:p>
    <w:p w:rsidR="000E1009" w:rsidRDefault="000E1009" w:rsidP="00771F93">
      <w:pPr>
        <w:pBdr>
          <w:top w:val="single" w:sz="24" w:space="1" w:color="auto"/>
          <w:left w:val="single" w:sz="24" w:space="4" w:color="auto"/>
          <w:bottom w:val="single" w:sz="24" w:space="1" w:color="auto"/>
          <w:right w:val="single" w:sz="24" w:space="4" w:color="auto"/>
        </w:pBdr>
      </w:pPr>
    </w:p>
    <w:p w:rsidR="000E1009" w:rsidRDefault="000E1009" w:rsidP="00771F93">
      <w:pPr>
        <w:pBdr>
          <w:top w:val="single" w:sz="24" w:space="1" w:color="auto"/>
          <w:left w:val="single" w:sz="24" w:space="4" w:color="auto"/>
          <w:bottom w:val="single" w:sz="24" w:space="1" w:color="auto"/>
          <w:right w:val="single" w:sz="24" w:space="4" w:color="auto"/>
        </w:pBdr>
      </w:pPr>
      <w:r>
        <w:rPr>
          <w:rFonts w:hint="eastAsia"/>
        </w:rPr>
        <w:t>村上誠一郎（衆議院議員）「安倍さんは価値観の違う人を身近に置くどころか、「お友達」ばかりで周辺をかためています。……現状はあまりも右舷に傾きすぎ、右に倒れて沈没してしまいかねない。このような憲政に汚点を残すようなことを、自民党たるものがやっていていいのか、と思います」（『世界』</w:t>
      </w:r>
      <w:r>
        <w:rPr>
          <w:rFonts w:hint="eastAsia"/>
        </w:rPr>
        <w:t>2014</w:t>
      </w:r>
      <w:r>
        <w:rPr>
          <w:rFonts w:hint="eastAsia"/>
        </w:rPr>
        <w:t>年</w:t>
      </w:r>
      <w:r>
        <w:rPr>
          <w:rFonts w:hint="eastAsia"/>
        </w:rPr>
        <w:t>5</w:t>
      </w:r>
      <w:r>
        <w:rPr>
          <w:rFonts w:hint="eastAsia"/>
        </w:rPr>
        <w:t>月号）。</w:t>
      </w:r>
    </w:p>
    <w:p w:rsidR="000E1009" w:rsidRDefault="000E1009" w:rsidP="00771F93">
      <w:pPr>
        <w:pBdr>
          <w:top w:val="single" w:sz="24" w:space="1" w:color="auto"/>
          <w:left w:val="single" w:sz="24" w:space="4" w:color="auto"/>
          <w:bottom w:val="single" w:sz="24" w:space="1" w:color="auto"/>
          <w:right w:val="single" w:sz="24" w:space="4" w:color="auto"/>
        </w:pBdr>
      </w:pPr>
    </w:p>
    <w:p w:rsidR="000E1009" w:rsidRDefault="000E1009">
      <w:pPr>
        <w:widowControl/>
        <w:jc w:val="left"/>
      </w:pPr>
      <w:r>
        <w:br w:type="page"/>
      </w:r>
    </w:p>
    <w:p w:rsidR="000E1009" w:rsidRPr="00277376" w:rsidRDefault="000E1009" w:rsidP="00771F93">
      <w:pPr>
        <w:pBdr>
          <w:top w:val="double" w:sz="12" w:space="1" w:color="FF0000"/>
          <w:left w:val="double" w:sz="12" w:space="4" w:color="FF0000"/>
          <w:bottom w:val="double" w:sz="12" w:space="1" w:color="FF0000"/>
          <w:right w:val="double" w:sz="12" w:space="4" w:color="FF0000"/>
        </w:pBdr>
        <w:rPr>
          <w:rFonts w:ascii="ＭＳ 明朝"/>
          <w:color w:val="FF0000"/>
          <w:spacing w:val="2"/>
          <w:sz w:val="24"/>
          <w:szCs w:val="24"/>
        </w:rPr>
      </w:pPr>
      <w:r w:rsidRPr="00277376">
        <w:rPr>
          <w:rFonts w:hint="eastAsia"/>
          <w:color w:val="FF0000"/>
          <w:sz w:val="24"/>
          <w:szCs w:val="24"/>
        </w:rPr>
        <w:lastRenderedPageBreak/>
        <w:t>集団的自衛権の行使容認は安倍政権の最大の暴挙</w:t>
      </w:r>
    </w:p>
    <w:p w:rsidR="000E1009" w:rsidRDefault="000E1009" w:rsidP="00771F93">
      <w:pPr>
        <w:rPr>
          <w:rFonts w:ascii="ＭＳ 明朝"/>
          <w:spacing w:val="2"/>
        </w:rPr>
      </w:pPr>
    </w:p>
    <w:p w:rsidR="000E1009" w:rsidRDefault="000E1009" w:rsidP="00771F93">
      <w:pPr>
        <w:rPr>
          <w:rFonts w:ascii="ＭＳ 明朝"/>
          <w:spacing w:val="2"/>
        </w:rPr>
      </w:pPr>
      <w:r>
        <w:rPr>
          <w:rFonts w:hint="eastAsia"/>
        </w:rPr>
        <w:t xml:space="preserve">　従来、安倍内閣が、この２年間に採用したさまざまな政策の中で、最大の暴挙の一つが、集団的自衛権の行使容認を閣議決定したことである。</w:t>
      </w:r>
    </w:p>
    <w:p w:rsidR="000E1009" w:rsidRDefault="000E1009" w:rsidP="00771F93">
      <w:pPr>
        <w:rPr>
          <w:rFonts w:ascii="ＭＳ 明朝"/>
          <w:spacing w:val="2"/>
        </w:rPr>
      </w:pPr>
      <w:r>
        <w:rPr>
          <w:rFonts w:hint="eastAsia"/>
        </w:rPr>
        <w:t xml:space="preserve">　これには、（１）集団的自衛権の行使を容認したこと自体の問題と、（２）そのような重要な問題を、国会での議論や国民の審判を仰ぐことなく与党間の密室の協議と閣議による決定という形で処理したという手続の問題がある。</w:t>
      </w:r>
    </w:p>
    <w:p w:rsidR="000E1009" w:rsidRDefault="000E1009" w:rsidP="00771F93">
      <w:pPr>
        <w:rPr>
          <w:rFonts w:ascii="ＭＳ 明朝"/>
          <w:spacing w:val="2"/>
        </w:rPr>
      </w:pPr>
      <w:r>
        <w:rPr>
          <w:rFonts w:hint="eastAsia"/>
        </w:rPr>
        <w:t xml:space="preserve">　（１）について、従来、日本政府は、戦力の保持を禁止している日本国憲法の規定にもかかわらず、自衛隊が合憲であるのは、自衛隊が自国が攻撃された際に防御を行うのみであって、他国に対する攻撃を行う「戦力」にあたらないからである、と説明してきた。集団的自衛権を行使するということは、「自衛」という言葉にもかかわらず、自国が攻撃をされていないにもかかわらず他国を防衛するために自らの持つ軍事力を用いるということに他ならない。つまり、日本国が攻撃を受けていないにもかかわらず他国を先制的に攻撃する「戦力」を保持するのみならず用いるということを容認するということである。</w:t>
      </w:r>
    </w:p>
    <w:p w:rsidR="000E1009" w:rsidRDefault="000E1009" w:rsidP="00771F93">
      <w:pPr>
        <w:rPr>
          <w:rFonts w:ascii="ＭＳ 明朝"/>
          <w:spacing w:val="2"/>
        </w:rPr>
      </w:pPr>
      <w:r>
        <w:rPr>
          <w:rFonts w:hint="eastAsia"/>
        </w:rPr>
        <w:t xml:space="preserve">　それは①日本が憲法が禁止している「戦力」を保持し、②先制攻撃を含む形で国際紛争を解決するために武力を用いることを認め、③憲法と自衛隊が矛盾していないという説明そのものを破壊し、自衛隊の存立根拠を奪うことになる。</w:t>
      </w:r>
    </w:p>
    <w:p w:rsidR="000E1009" w:rsidRDefault="000E1009" w:rsidP="00771F93">
      <w:pPr>
        <w:rPr>
          <w:rFonts w:ascii="ＭＳ 明朝"/>
          <w:spacing w:val="2"/>
        </w:rPr>
      </w:pPr>
      <w:r>
        <w:rPr>
          <w:rFonts w:hint="eastAsia"/>
        </w:rPr>
        <w:t xml:space="preserve">　（２）についていえば、（１）のように憲法の内実を根本から破壊するような変更を、幅広く開かれた議論、何よりも国会における議論を経ずに行ったという意味で、憲法に基づいた政治を行うという立憲主義に正面から挑戦する暴挙としかいえない。</w:t>
      </w:r>
    </w:p>
    <w:p w:rsidR="000E1009" w:rsidRDefault="000E1009" w:rsidP="00771F93">
      <w:pPr>
        <w:rPr>
          <w:rFonts w:ascii="ＭＳ 明朝"/>
          <w:spacing w:val="2"/>
        </w:rPr>
      </w:pPr>
      <w:r>
        <w:rPr>
          <w:rFonts w:hint="eastAsia"/>
        </w:rPr>
        <w:t xml:space="preserve">　このようなことが許容されるようでは、安倍首相が強く批判的な姿勢をとって</w:t>
      </w:r>
      <w:r w:rsidR="00277376">
        <w:rPr>
          <w:rFonts w:hint="eastAsia"/>
        </w:rPr>
        <w:t>対峙</w:t>
      </w:r>
      <w:r>
        <w:rPr>
          <w:rFonts w:hint="eastAsia"/>
        </w:rPr>
        <w:t>している中国</w:t>
      </w:r>
      <w:r w:rsidR="00277376">
        <w:rPr>
          <w:rFonts w:hint="eastAsia"/>
        </w:rPr>
        <w:t>の</w:t>
      </w:r>
      <w:r>
        <w:rPr>
          <w:rFonts w:hint="eastAsia"/>
        </w:rPr>
        <w:t>共産党支配と、日本の民主主義には質的違いはない、ということにもなりかねない。</w:t>
      </w:r>
    </w:p>
    <w:p w:rsidR="000E1009" w:rsidRDefault="000E1009" w:rsidP="00771F93">
      <w:r>
        <w:rPr>
          <w:rFonts w:hint="eastAsia"/>
        </w:rPr>
        <w:t xml:space="preserve">　集団的自衛権の行使容認は撤回し、自衛隊設立以来維持されてきた憲法の解釈を回復するとともに、立憲主義の原則を再度確認すべきである。</w:t>
      </w:r>
    </w:p>
    <w:p w:rsidR="000E1009" w:rsidRDefault="000E1009" w:rsidP="00771F93"/>
    <w:p w:rsidR="000E1009" w:rsidRPr="001037FC" w:rsidRDefault="000E1009" w:rsidP="00771F93">
      <w:pPr>
        <w:rPr>
          <w:rFonts w:ascii="ＭＳ 明朝"/>
          <w:spacing w:val="2"/>
        </w:rPr>
      </w:pPr>
    </w:p>
    <w:p w:rsidR="000E1009" w:rsidRDefault="000E1009" w:rsidP="00771F93">
      <w:pPr>
        <w:pBdr>
          <w:top w:val="single" w:sz="18" w:space="1" w:color="auto"/>
          <w:left w:val="single" w:sz="18" w:space="4" w:color="auto"/>
          <w:bottom w:val="single" w:sz="18" w:space="1" w:color="auto"/>
          <w:right w:val="single" w:sz="18" w:space="4" w:color="auto"/>
        </w:pBdr>
        <w:rPr>
          <w:rFonts w:ascii="ＭＳ 明朝"/>
          <w:spacing w:val="2"/>
        </w:rPr>
      </w:pPr>
      <w:r>
        <w:rPr>
          <w:rFonts w:hint="eastAsia"/>
        </w:rPr>
        <w:t>日本国憲法</w:t>
      </w:r>
    </w:p>
    <w:p w:rsidR="000E1009" w:rsidRDefault="000E1009" w:rsidP="00771F93">
      <w:pPr>
        <w:pBdr>
          <w:top w:val="single" w:sz="18" w:space="1" w:color="auto"/>
          <w:left w:val="single" w:sz="18" w:space="4" w:color="auto"/>
          <w:bottom w:val="single" w:sz="18" w:space="1" w:color="auto"/>
          <w:right w:val="single" w:sz="18" w:space="4" w:color="auto"/>
        </w:pBdr>
        <w:rPr>
          <w:rFonts w:ascii="ＭＳ 明朝"/>
          <w:spacing w:val="2"/>
        </w:rPr>
      </w:pPr>
      <w:r>
        <w:rPr>
          <w:rFonts w:hint="eastAsia"/>
        </w:rPr>
        <w:t>第二章　戦争の放棄</w:t>
      </w:r>
    </w:p>
    <w:p w:rsidR="000E1009" w:rsidRDefault="000E1009" w:rsidP="00771F93">
      <w:pPr>
        <w:pBdr>
          <w:top w:val="single" w:sz="18" w:space="1" w:color="auto"/>
          <w:left w:val="single" w:sz="18" w:space="4" w:color="auto"/>
          <w:bottom w:val="single" w:sz="18" w:space="1" w:color="auto"/>
          <w:right w:val="single" w:sz="18" w:space="4" w:color="auto"/>
        </w:pBdr>
        <w:rPr>
          <w:rFonts w:ascii="ＭＳ 明朝"/>
          <w:spacing w:val="2"/>
        </w:rPr>
      </w:pPr>
      <w:r>
        <w:rPr>
          <w:rFonts w:hint="eastAsia"/>
        </w:rPr>
        <w:t>第九条</w:t>
      </w:r>
      <w:r>
        <w:t xml:space="preserve"> </w:t>
      </w:r>
      <w:r>
        <w:rPr>
          <w:rFonts w:hint="eastAsia"/>
        </w:rPr>
        <w:t xml:space="preserve">　日本国民は、正義と秩序を基調とする国際平和を誠実に希求し、国権の発動たる戦争と、武力による威嚇又は武力の行使は、国際紛争を解決する手段としては、永久にこれを放棄する。</w:t>
      </w:r>
    </w:p>
    <w:p w:rsidR="000E1009" w:rsidRDefault="000E1009" w:rsidP="00771F93">
      <w:pPr>
        <w:pBdr>
          <w:top w:val="single" w:sz="18" w:space="1" w:color="auto"/>
          <w:left w:val="single" w:sz="18" w:space="4" w:color="auto"/>
          <w:bottom w:val="single" w:sz="18" w:space="1" w:color="auto"/>
          <w:right w:val="single" w:sz="18" w:space="4" w:color="auto"/>
        </w:pBdr>
        <w:rPr>
          <w:rFonts w:ascii="ＭＳ 明朝"/>
          <w:spacing w:val="2"/>
        </w:rPr>
      </w:pPr>
      <w:r>
        <w:rPr>
          <w:rFonts w:hint="eastAsia"/>
        </w:rPr>
        <w:t>第２項</w:t>
      </w:r>
      <w:r>
        <w:t xml:space="preserve"> </w:t>
      </w:r>
      <w:r>
        <w:rPr>
          <w:rFonts w:hint="eastAsia"/>
        </w:rPr>
        <w:t xml:space="preserve">　前項の目的を達するため、陸海空軍その他の戦力は、これを保持しない。国の交戦権は、これを認めない。</w:t>
      </w:r>
    </w:p>
    <w:p w:rsidR="000E1009" w:rsidRDefault="000E1009" w:rsidP="00771F93">
      <w:pPr>
        <w:pBdr>
          <w:top w:val="single" w:sz="18" w:space="1" w:color="auto"/>
          <w:left w:val="single" w:sz="18" w:space="4" w:color="auto"/>
          <w:bottom w:val="single" w:sz="18" w:space="1" w:color="auto"/>
          <w:right w:val="single" w:sz="18" w:space="4" w:color="auto"/>
        </w:pBdr>
        <w:rPr>
          <w:rFonts w:ascii="ＭＳ 明朝"/>
          <w:spacing w:val="2"/>
        </w:rPr>
      </w:pPr>
    </w:p>
    <w:p w:rsidR="000E1009" w:rsidRDefault="000E1009" w:rsidP="00771F93">
      <w:pPr>
        <w:pBdr>
          <w:top w:val="single" w:sz="18" w:space="1" w:color="auto"/>
          <w:left w:val="single" w:sz="18" w:space="4" w:color="auto"/>
          <w:bottom w:val="single" w:sz="18" w:space="1" w:color="auto"/>
          <w:right w:val="single" w:sz="18" w:space="4" w:color="auto"/>
        </w:pBdr>
      </w:pPr>
      <w:r>
        <w:rPr>
          <w:rFonts w:hint="eastAsia"/>
        </w:rPr>
        <w:t>「政府は、従来から一貫して、我が国は国際法上いわゆる集団的自衛権を有しているとしても、国権の発動としてこれを行使することは、憲法の容認する自衛の措置の限界をこえるものであって許されないとの立場に立っている。（中略）我が憲法の下で、武力行使を行うことが許されるのは、我が国に対する急迫、不正の侵害に対処する場合に限られるのであって、他国に加えられた武力攻撃を阻止することをその内容とする集団的自衛権の行使は、憲法上許されない」（第</w:t>
      </w:r>
      <w:r w:rsidR="009845FA">
        <w:rPr>
          <w:rFonts w:hint="eastAsia"/>
        </w:rPr>
        <w:t>69</w:t>
      </w:r>
      <w:r>
        <w:rPr>
          <w:rFonts w:hint="eastAsia"/>
        </w:rPr>
        <w:t>回国会参議院決算委員会提出資料昭和</w:t>
      </w:r>
      <w:r>
        <w:t>47</w:t>
      </w:r>
      <w:r>
        <w:rPr>
          <w:rFonts w:hint="eastAsia"/>
        </w:rPr>
        <w:t>年</w:t>
      </w:r>
      <w:r>
        <w:t>10</w:t>
      </w:r>
      <w:r>
        <w:rPr>
          <w:rFonts w:hint="eastAsia"/>
        </w:rPr>
        <w:t>月</w:t>
      </w:r>
      <w:r>
        <w:t>14</w:t>
      </w:r>
      <w:r>
        <w:rPr>
          <w:rFonts w:hint="eastAsia"/>
        </w:rPr>
        <w:t>日）</w:t>
      </w:r>
    </w:p>
    <w:p w:rsidR="00277376" w:rsidRDefault="00277376" w:rsidP="00771F93">
      <w:pPr>
        <w:pBdr>
          <w:top w:val="single" w:sz="18" w:space="1" w:color="auto"/>
          <w:left w:val="single" w:sz="18" w:space="4" w:color="auto"/>
          <w:bottom w:val="single" w:sz="18" w:space="1" w:color="auto"/>
          <w:right w:val="single" w:sz="18" w:space="4" w:color="auto"/>
        </w:pBdr>
        <w:rPr>
          <w:rFonts w:ascii="ＭＳ 明朝"/>
          <w:spacing w:val="2"/>
        </w:rPr>
      </w:pPr>
    </w:p>
    <w:p w:rsidR="000E1009" w:rsidRDefault="000E1009">
      <w:pPr>
        <w:widowControl/>
        <w:jc w:val="left"/>
      </w:pPr>
      <w:r>
        <w:br w:type="page"/>
      </w:r>
    </w:p>
    <w:p w:rsidR="000E1009" w:rsidRPr="00BE6530" w:rsidRDefault="000E1009" w:rsidP="00771F93">
      <w:pPr>
        <w:pBdr>
          <w:top w:val="double" w:sz="12" w:space="1" w:color="FF0000"/>
          <w:left w:val="double" w:sz="12" w:space="4" w:color="FF0000"/>
          <w:bottom w:val="double" w:sz="12" w:space="1" w:color="FF0000"/>
          <w:right w:val="double" w:sz="12" w:space="4" w:color="FF0000"/>
        </w:pBdr>
        <w:overflowPunct w:val="0"/>
        <w:textAlignment w:val="baseline"/>
        <w:rPr>
          <w:rFonts w:ascii="ＭＳ 明朝" w:hAnsi="Times New Roman"/>
          <w:color w:val="FF0000"/>
          <w:spacing w:val="2"/>
          <w:kern w:val="0"/>
          <w:sz w:val="24"/>
          <w:szCs w:val="24"/>
        </w:rPr>
      </w:pPr>
      <w:r w:rsidRPr="00BE6530">
        <w:rPr>
          <w:rFonts w:ascii="Times New Roman" w:hAnsi="Times New Roman" w:cs="ＭＳ 明朝" w:hint="eastAsia"/>
          <w:color w:val="FF0000"/>
          <w:kern w:val="0"/>
          <w:sz w:val="24"/>
          <w:szCs w:val="24"/>
        </w:rPr>
        <w:lastRenderedPageBreak/>
        <w:t>安倍首相の軍事偏重主義は世界における日本の孤立化を招く</w:t>
      </w:r>
    </w:p>
    <w:p w:rsidR="000E1009" w:rsidRDefault="000E1009" w:rsidP="00771F93">
      <w:pPr>
        <w:overflowPunct w:val="0"/>
        <w:textAlignment w:val="baseline"/>
        <w:rPr>
          <w:rFonts w:ascii="Times New Roman" w:hAnsi="Times New Roman" w:cs="ＭＳ 明朝"/>
          <w:color w:val="000000"/>
          <w:kern w:val="0"/>
          <w:szCs w:val="21"/>
        </w:rPr>
      </w:pPr>
      <w:r w:rsidRPr="00771F93">
        <w:rPr>
          <w:rFonts w:ascii="Times New Roman" w:hAnsi="Times New Roman" w:cs="ＭＳ 明朝" w:hint="eastAsia"/>
          <w:color w:val="000000"/>
          <w:kern w:val="0"/>
          <w:szCs w:val="21"/>
        </w:rPr>
        <w:t xml:space="preserve">　</w:t>
      </w:r>
    </w:p>
    <w:p w:rsidR="000E1009" w:rsidRPr="00771F93" w:rsidRDefault="000E1009" w:rsidP="00277376">
      <w:pPr>
        <w:overflowPunct w:val="0"/>
        <w:ind w:firstLineChars="100" w:firstLine="210"/>
        <w:textAlignment w:val="baseline"/>
        <w:rPr>
          <w:rFonts w:ascii="ＭＳ 明朝" w:hAnsi="Times New Roman"/>
          <w:color w:val="000000"/>
          <w:spacing w:val="2"/>
          <w:kern w:val="0"/>
          <w:szCs w:val="21"/>
        </w:rPr>
      </w:pPr>
      <w:r w:rsidRPr="00771F93">
        <w:rPr>
          <w:rFonts w:ascii="Times New Roman" w:hAnsi="Times New Roman" w:cs="ＭＳ 明朝" w:hint="eastAsia"/>
          <w:color w:val="000000"/>
          <w:kern w:val="0"/>
          <w:szCs w:val="21"/>
        </w:rPr>
        <w:t>安倍政権は、国家安全保障会議の新設、</w:t>
      </w:r>
      <w:r w:rsidR="009845FA">
        <w:rPr>
          <w:rFonts w:ascii="Times New Roman" w:hAnsi="Times New Roman" w:cs="ＭＳ 明朝" w:hint="eastAsia"/>
          <w:color w:val="000000"/>
          <w:kern w:val="0"/>
          <w:szCs w:val="21"/>
        </w:rPr>
        <w:t>特定</w:t>
      </w:r>
      <w:r w:rsidRPr="00771F93">
        <w:rPr>
          <w:rFonts w:ascii="Times New Roman" w:hAnsi="Times New Roman" w:cs="ＭＳ 明朝" w:hint="eastAsia"/>
          <w:color w:val="000000"/>
          <w:kern w:val="0"/>
          <w:szCs w:val="21"/>
        </w:rPr>
        <w:t>秘密保護法、集団的自衛権</w:t>
      </w:r>
      <w:r w:rsidR="009845FA">
        <w:rPr>
          <w:rFonts w:ascii="Times New Roman" w:hAnsi="Times New Roman" w:cs="ＭＳ 明朝" w:hint="eastAsia"/>
          <w:color w:val="000000"/>
          <w:kern w:val="0"/>
          <w:szCs w:val="21"/>
        </w:rPr>
        <w:t>の</w:t>
      </w:r>
      <w:r w:rsidRPr="00771F93">
        <w:rPr>
          <w:rFonts w:ascii="Times New Roman" w:hAnsi="Times New Roman" w:cs="ＭＳ 明朝" w:hint="eastAsia"/>
          <w:color w:val="000000"/>
          <w:kern w:val="0"/>
          <w:szCs w:val="21"/>
        </w:rPr>
        <w:t>行使容認など、次々と新しい安全保障政策を打ち出し、それらを国際協調主義に基づく積極的平和主義と呼んでいる。そのほかにも、武器輸出三原則を撤廃し、武器輸出を原則可能とする「防衛装備移転三原則」へと転換した。さらには、ＯＤＡ大綱の見直しによって武力紛争に関わる場合でもＯＤＡを</w:t>
      </w:r>
      <w:r w:rsidR="00277376">
        <w:rPr>
          <w:rFonts w:ascii="Times New Roman" w:hAnsi="Times New Roman" w:cs="ＭＳ 明朝" w:hint="eastAsia"/>
          <w:color w:val="000000"/>
          <w:kern w:val="0"/>
          <w:szCs w:val="21"/>
        </w:rPr>
        <w:t>供与</w:t>
      </w:r>
      <w:r w:rsidRPr="00771F93">
        <w:rPr>
          <w:rFonts w:ascii="Times New Roman" w:hAnsi="Times New Roman" w:cs="ＭＳ 明朝" w:hint="eastAsia"/>
          <w:color w:val="000000"/>
          <w:kern w:val="0"/>
          <w:szCs w:val="21"/>
        </w:rPr>
        <w:t>できるようにしようとしている。</w:t>
      </w:r>
    </w:p>
    <w:p w:rsidR="000E1009" w:rsidRPr="00771F93" w:rsidRDefault="000E1009" w:rsidP="00771F93">
      <w:pPr>
        <w:overflowPunct w:val="0"/>
        <w:textAlignment w:val="baseline"/>
        <w:rPr>
          <w:rFonts w:ascii="ＭＳ 明朝" w:hAnsi="Times New Roman"/>
          <w:color w:val="000000"/>
          <w:spacing w:val="2"/>
          <w:kern w:val="0"/>
          <w:szCs w:val="21"/>
        </w:rPr>
      </w:pPr>
      <w:r w:rsidRPr="00771F93">
        <w:rPr>
          <w:rFonts w:ascii="Times New Roman" w:hAnsi="Times New Roman" w:cs="ＭＳ 明朝" w:hint="eastAsia"/>
          <w:color w:val="000000"/>
          <w:kern w:val="0"/>
          <w:szCs w:val="21"/>
        </w:rPr>
        <w:t xml:space="preserve">　これらの政策は、いずれも、国家・政府に強い権力を与える国家主義と、安全保障政策の遂行における軍事力の役割の重視を特色としており、日本がこれまで追求してきた平和主義外交の資産を投げ捨てている。</w:t>
      </w:r>
    </w:p>
    <w:p w:rsidR="000E1009" w:rsidRPr="00771F93" w:rsidRDefault="000E1009" w:rsidP="00771F93">
      <w:pPr>
        <w:overflowPunct w:val="0"/>
        <w:textAlignment w:val="baseline"/>
        <w:rPr>
          <w:rFonts w:ascii="ＭＳ 明朝" w:hAnsi="Times New Roman"/>
          <w:color w:val="000000"/>
          <w:spacing w:val="2"/>
          <w:kern w:val="0"/>
          <w:szCs w:val="21"/>
        </w:rPr>
      </w:pPr>
      <w:r w:rsidRPr="00771F93">
        <w:rPr>
          <w:rFonts w:ascii="Times New Roman" w:hAnsi="Times New Roman" w:cs="ＭＳ 明朝" w:hint="eastAsia"/>
          <w:color w:val="000000"/>
          <w:kern w:val="0"/>
          <w:szCs w:val="21"/>
        </w:rPr>
        <w:t xml:space="preserve">　これを「平和主義」と呼ぶのは、国民を愚弄するものである。平和主義とは、追求する目的のみならず、用いる手段に関しても平和的なものでなければならない。武力を用いることをためらわず平和</w:t>
      </w:r>
      <w:r w:rsidR="00277376">
        <w:rPr>
          <w:rFonts w:ascii="Times New Roman" w:hAnsi="Times New Roman" w:cs="ＭＳ 明朝" w:hint="eastAsia"/>
          <w:color w:val="000000"/>
          <w:kern w:val="0"/>
          <w:szCs w:val="21"/>
        </w:rPr>
        <w:t>を</w:t>
      </w:r>
      <w:r w:rsidRPr="00771F93">
        <w:rPr>
          <w:rFonts w:ascii="Times New Roman" w:hAnsi="Times New Roman" w:cs="ＭＳ 明朝" w:hint="eastAsia"/>
          <w:color w:val="000000"/>
          <w:kern w:val="0"/>
          <w:szCs w:val="21"/>
        </w:rPr>
        <w:t>実現</w:t>
      </w:r>
      <w:r w:rsidR="00277376">
        <w:rPr>
          <w:rFonts w:ascii="Times New Roman" w:hAnsi="Times New Roman" w:cs="ＭＳ 明朝" w:hint="eastAsia"/>
          <w:color w:val="000000"/>
          <w:kern w:val="0"/>
          <w:szCs w:val="21"/>
        </w:rPr>
        <w:t>するという政策</w:t>
      </w:r>
      <w:r w:rsidRPr="00771F93">
        <w:rPr>
          <w:rFonts w:ascii="Times New Roman" w:hAnsi="Times New Roman" w:cs="ＭＳ 明朝" w:hint="eastAsia"/>
          <w:color w:val="000000"/>
          <w:kern w:val="0"/>
          <w:szCs w:val="21"/>
        </w:rPr>
        <w:t>は、</w:t>
      </w:r>
      <w:r w:rsidR="00277376">
        <w:rPr>
          <w:rFonts w:ascii="Times New Roman" w:hAnsi="Times New Roman" w:cs="ＭＳ 明朝" w:hint="eastAsia"/>
          <w:color w:val="000000"/>
          <w:kern w:val="0"/>
          <w:szCs w:val="21"/>
        </w:rPr>
        <w:t>とても</w:t>
      </w:r>
      <w:r w:rsidRPr="00771F93">
        <w:rPr>
          <w:rFonts w:ascii="Times New Roman" w:hAnsi="Times New Roman" w:cs="ＭＳ 明朝" w:hint="eastAsia"/>
          <w:color w:val="000000"/>
          <w:kern w:val="0"/>
          <w:szCs w:val="21"/>
        </w:rPr>
        <w:t>平和主義とは呼べない。</w:t>
      </w:r>
    </w:p>
    <w:p w:rsidR="000E1009" w:rsidRPr="00771F93" w:rsidRDefault="000E1009" w:rsidP="00771F93">
      <w:pPr>
        <w:overflowPunct w:val="0"/>
        <w:textAlignment w:val="baseline"/>
        <w:rPr>
          <w:rFonts w:ascii="ＭＳ 明朝" w:hAnsi="Times New Roman"/>
          <w:color w:val="000000"/>
          <w:spacing w:val="2"/>
          <w:kern w:val="0"/>
          <w:szCs w:val="21"/>
        </w:rPr>
      </w:pPr>
      <w:r w:rsidRPr="00771F93">
        <w:rPr>
          <w:rFonts w:ascii="Times New Roman" w:hAnsi="Times New Roman" w:cs="ＭＳ 明朝" w:hint="eastAsia"/>
          <w:color w:val="000000"/>
          <w:kern w:val="0"/>
          <w:szCs w:val="21"/>
        </w:rPr>
        <w:t xml:space="preserve">　安倍政権の安全保障政策は、あまりにも軍事偏重であるのみならず、周辺諸国との信頼関係作りがほとんど行われていないという大きな欠点をともなっている。</w:t>
      </w:r>
    </w:p>
    <w:p w:rsidR="000E1009" w:rsidRPr="00771F93" w:rsidRDefault="000E1009" w:rsidP="00771F93">
      <w:pPr>
        <w:overflowPunct w:val="0"/>
        <w:textAlignment w:val="baseline"/>
        <w:rPr>
          <w:rFonts w:ascii="ＭＳ 明朝" w:hAnsi="Times New Roman"/>
          <w:color w:val="000000"/>
          <w:spacing w:val="2"/>
          <w:kern w:val="0"/>
          <w:szCs w:val="21"/>
        </w:rPr>
      </w:pPr>
      <w:r w:rsidRPr="00771F93">
        <w:rPr>
          <w:rFonts w:ascii="Times New Roman" w:hAnsi="Times New Roman" w:cs="ＭＳ 明朝" w:hint="eastAsia"/>
          <w:color w:val="000000"/>
          <w:kern w:val="0"/>
          <w:szCs w:val="21"/>
        </w:rPr>
        <w:t>（１）集団的自衛権の行使について、立憲主義上の問題と憲法違反の可能性がある</w:t>
      </w:r>
      <w:r w:rsidR="00277376">
        <w:rPr>
          <w:rFonts w:ascii="Times New Roman" w:hAnsi="Times New Roman" w:cs="ＭＳ 明朝" w:hint="eastAsia"/>
          <w:color w:val="000000"/>
          <w:kern w:val="0"/>
          <w:szCs w:val="21"/>
        </w:rPr>
        <w:t>。</w:t>
      </w:r>
    </w:p>
    <w:p w:rsidR="000E1009" w:rsidRPr="00771F93" w:rsidRDefault="000E1009" w:rsidP="00771F93">
      <w:pPr>
        <w:overflowPunct w:val="0"/>
        <w:textAlignment w:val="baseline"/>
        <w:rPr>
          <w:rFonts w:ascii="ＭＳ 明朝" w:hAnsi="Times New Roman"/>
          <w:color w:val="000000"/>
          <w:spacing w:val="2"/>
          <w:kern w:val="0"/>
          <w:szCs w:val="21"/>
        </w:rPr>
      </w:pPr>
      <w:r w:rsidRPr="00771F93">
        <w:rPr>
          <w:rFonts w:ascii="Times New Roman" w:hAnsi="Times New Roman" w:cs="ＭＳ 明朝" w:hint="eastAsia"/>
          <w:color w:val="000000"/>
          <w:kern w:val="0"/>
          <w:szCs w:val="21"/>
        </w:rPr>
        <w:t>（２）最も重視すべきアメリカとの関係においてすら、十分な信頼関係を築けていない。アメリカは当然のように、</w:t>
      </w:r>
      <w:r w:rsidR="009845FA">
        <w:rPr>
          <w:rFonts w:ascii="Times New Roman" w:hAnsi="Times New Roman" w:cs="ＭＳ 明朝" w:hint="eastAsia"/>
          <w:color w:val="000000"/>
          <w:kern w:val="0"/>
          <w:szCs w:val="21"/>
        </w:rPr>
        <w:t>「</w:t>
      </w:r>
      <w:r w:rsidRPr="00771F93">
        <w:rPr>
          <w:rFonts w:ascii="Times New Roman" w:hAnsi="Times New Roman" w:cs="ＭＳ 明朝" w:hint="eastAsia"/>
          <w:color w:val="000000"/>
          <w:kern w:val="0"/>
          <w:szCs w:val="21"/>
        </w:rPr>
        <w:t>戦後レジームからの脱却</w:t>
      </w:r>
      <w:r w:rsidR="009845FA">
        <w:rPr>
          <w:rFonts w:ascii="Times New Roman" w:hAnsi="Times New Roman" w:cs="ＭＳ 明朝" w:hint="eastAsia"/>
          <w:color w:val="000000"/>
          <w:kern w:val="0"/>
          <w:szCs w:val="21"/>
        </w:rPr>
        <w:t>」</w:t>
      </w:r>
      <w:r w:rsidRPr="00771F93">
        <w:rPr>
          <w:rFonts w:ascii="Times New Roman" w:hAnsi="Times New Roman" w:cs="ＭＳ 明朝" w:hint="eastAsia"/>
          <w:color w:val="000000"/>
          <w:kern w:val="0"/>
          <w:szCs w:val="21"/>
        </w:rPr>
        <w:t>を目指す安倍政権を警戒している。そして、日中間の無用な対立に巻き込まれることを恐れている。</w:t>
      </w:r>
    </w:p>
    <w:p w:rsidR="000E1009" w:rsidRPr="00771F93" w:rsidRDefault="000E1009" w:rsidP="00771F93">
      <w:pPr>
        <w:overflowPunct w:val="0"/>
        <w:textAlignment w:val="baseline"/>
        <w:rPr>
          <w:rFonts w:ascii="ＭＳ 明朝" w:hAnsi="Times New Roman"/>
          <w:color w:val="000000"/>
          <w:spacing w:val="2"/>
          <w:kern w:val="0"/>
          <w:szCs w:val="21"/>
        </w:rPr>
      </w:pPr>
      <w:r w:rsidRPr="00771F93">
        <w:rPr>
          <w:rFonts w:ascii="Times New Roman" w:hAnsi="Times New Roman" w:cs="ＭＳ 明朝" w:hint="eastAsia"/>
          <w:color w:val="000000"/>
          <w:kern w:val="0"/>
          <w:szCs w:val="21"/>
        </w:rPr>
        <w:t>（３）中国・韓国との間では、長らく首脳会談すら開かれず、</w:t>
      </w:r>
      <w:r w:rsidR="00277376">
        <w:rPr>
          <w:rFonts w:ascii="Times New Roman" w:hAnsi="Times New Roman" w:cs="ＭＳ 明朝" w:hint="eastAsia"/>
          <w:color w:val="000000"/>
          <w:kern w:val="0"/>
          <w:szCs w:val="21"/>
        </w:rPr>
        <w:t>ようやく</w:t>
      </w:r>
      <w:r w:rsidRPr="00771F93">
        <w:rPr>
          <w:rFonts w:ascii="Times New Roman" w:hAnsi="Times New Roman" w:cs="ＭＳ 明朝" w:hint="eastAsia"/>
          <w:color w:val="000000"/>
          <w:kern w:val="0"/>
          <w:szCs w:val="21"/>
        </w:rPr>
        <w:t>実現した日中首脳会談も、日中関係を安定させるものとはほど遠かったといわねばならない。</w:t>
      </w:r>
    </w:p>
    <w:p w:rsidR="000E1009" w:rsidRPr="00771F93" w:rsidRDefault="000E1009" w:rsidP="00771F93">
      <w:pPr>
        <w:overflowPunct w:val="0"/>
        <w:textAlignment w:val="baseline"/>
        <w:rPr>
          <w:rFonts w:ascii="ＭＳ 明朝" w:hAnsi="Times New Roman"/>
          <w:color w:val="000000"/>
          <w:spacing w:val="2"/>
          <w:kern w:val="0"/>
          <w:szCs w:val="21"/>
        </w:rPr>
      </w:pPr>
      <w:r w:rsidRPr="00771F93">
        <w:rPr>
          <w:rFonts w:ascii="Times New Roman" w:hAnsi="Times New Roman" w:cs="ＭＳ 明朝" w:hint="eastAsia"/>
          <w:color w:val="000000"/>
          <w:kern w:val="0"/>
          <w:szCs w:val="21"/>
        </w:rPr>
        <w:t xml:space="preserve">　こうした問題の中核にあるのは、安倍首相および安倍政権の戦前復古型国家主義と軍事偏重主義である。戦後の民主主義の価値と周辺諸国との信頼関係作りを基盤とした安全保障政策へと転換していかなければ、世界の中で日本の孤立化を招いてしまう。</w:t>
      </w:r>
    </w:p>
    <w:p w:rsidR="000E1009" w:rsidRDefault="000E1009" w:rsidP="00771F93">
      <w:pPr>
        <w:overflowPunct w:val="0"/>
        <w:textAlignment w:val="baseline"/>
        <w:rPr>
          <w:rFonts w:ascii="ＭＳ 明朝" w:hAnsi="Times New Roman"/>
          <w:color w:val="000000"/>
          <w:spacing w:val="2"/>
          <w:kern w:val="0"/>
          <w:szCs w:val="21"/>
        </w:rPr>
      </w:pPr>
    </w:p>
    <w:p w:rsidR="000E1009" w:rsidRPr="00771F93" w:rsidRDefault="000E1009" w:rsidP="00771F93">
      <w:pPr>
        <w:overflowPunct w:val="0"/>
        <w:textAlignment w:val="baseline"/>
        <w:rPr>
          <w:rFonts w:ascii="ＭＳ 明朝" w:hAnsi="Times New Roman"/>
          <w:color w:val="000000"/>
          <w:spacing w:val="2"/>
          <w:kern w:val="0"/>
          <w:szCs w:val="21"/>
        </w:rPr>
      </w:pPr>
    </w:p>
    <w:p w:rsidR="00BE6530" w:rsidRDefault="00BE6530" w:rsidP="00771F93">
      <w:pPr>
        <w:pBdr>
          <w:top w:val="single" w:sz="18" w:space="1" w:color="auto"/>
          <w:left w:val="single" w:sz="18" w:space="4" w:color="auto"/>
          <w:bottom w:val="single" w:sz="18" w:space="1" w:color="auto"/>
          <w:right w:val="single" w:sz="18" w:space="4" w:color="auto"/>
        </w:pBdr>
        <w:overflowPunct w:val="0"/>
        <w:textAlignment w:val="baseline"/>
        <w:rPr>
          <w:rFonts w:ascii="Times New Roman" w:hAnsi="Times New Roman" w:cs="ＭＳ 明朝"/>
          <w:color w:val="000000"/>
          <w:kern w:val="0"/>
          <w:szCs w:val="21"/>
        </w:rPr>
      </w:pPr>
    </w:p>
    <w:p w:rsidR="000E1009" w:rsidRPr="00771F93" w:rsidRDefault="000E1009" w:rsidP="00771F93">
      <w:pPr>
        <w:pBdr>
          <w:top w:val="single" w:sz="18" w:space="1" w:color="auto"/>
          <w:left w:val="single" w:sz="18" w:space="4" w:color="auto"/>
          <w:bottom w:val="single" w:sz="18" w:space="1" w:color="auto"/>
          <w:right w:val="single" w:sz="18" w:space="4" w:color="auto"/>
        </w:pBdr>
        <w:overflowPunct w:val="0"/>
        <w:textAlignment w:val="baseline"/>
        <w:rPr>
          <w:rFonts w:ascii="ＭＳ 明朝" w:hAnsi="Times New Roman"/>
          <w:color w:val="000000"/>
          <w:spacing w:val="2"/>
          <w:kern w:val="0"/>
          <w:szCs w:val="21"/>
        </w:rPr>
      </w:pPr>
      <w:r w:rsidRPr="00771F93">
        <w:rPr>
          <w:rFonts w:ascii="Times New Roman" w:hAnsi="Times New Roman" w:cs="ＭＳ 明朝" w:hint="eastAsia"/>
          <w:color w:val="000000"/>
          <w:kern w:val="0"/>
          <w:szCs w:val="21"/>
        </w:rPr>
        <w:t xml:space="preserve">　</w:t>
      </w:r>
      <w:r w:rsidR="009845FA">
        <w:rPr>
          <w:rFonts w:ascii="Times New Roman" w:hAnsi="Times New Roman" w:cs="ＭＳ 明朝" w:hint="eastAsia"/>
          <w:color w:val="000000"/>
          <w:kern w:val="0"/>
          <w:szCs w:val="21"/>
        </w:rPr>
        <w:t>2013</w:t>
      </w:r>
      <w:r w:rsidRPr="00771F93">
        <w:rPr>
          <w:rFonts w:ascii="Times New Roman" w:hAnsi="Times New Roman" w:cs="ＭＳ 明朝" w:hint="eastAsia"/>
          <w:color w:val="000000"/>
          <w:kern w:val="0"/>
          <w:szCs w:val="21"/>
        </w:rPr>
        <w:t>年</w:t>
      </w:r>
      <w:r w:rsidR="009845FA">
        <w:rPr>
          <w:rFonts w:ascii="Times New Roman" w:hAnsi="Times New Roman" w:cs="ＭＳ 明朝" w:hint="eastAsia"/>
          <w:color w:val="000000"/>
          <w:kern w:val="0"/>
          <w:szCs w:val="21"/>
        </w:rPr>
        <w:t>1</w:t>
      </w:r>
      <w:r w:rsidR="00EB59A0">
        <w:rPr>
          <w:rFonts w:ascii="Times New Roman" w:hAnsi="Times New Roman" w:cs="ＭＳ 明朝" w:hint="eastAsia"/>
          <w:color w:val="000000"/>
          <w:kern w:val="0"/>
          <w:szCs w:val="21"/>
        </w:rPr>
        <w:t>0</w:t>
      </w:r>
      <w:r w:rsidRPr="00771F93">
        <w:rPr>
          <w:rFonts w:ascii="Times New Roman" w:hAnsi="Times New Roman" w:cs="ＭＳ 明朝" w:hint="eastAsia"/>
          <w:color w:val="000000"/>
          <w:kern w:val="0"/>
          <w:szCs w:val="21"/>
        </w:rPr>
        <w:t>月には、ケリー国務長官、ヘーゲル国防長官がそろって国立千鳥ヶ淵戦没者墓苑を訪れ、安倍首相に対して、靖国神社参拝をしないよう強く示唆</w:t>
      </w:r>
    </w:p>
    <w:p w:rsidR="000E1009" w:rsidRPr="00771F93" w:rsidRDefault="000E1009" w:rsidP="00771F93">
      <w:pPr>
        <w:pBdr>
          <w:top w:val="single" w:sz="18" w:space="1" w:color="auto"/>
          <w:left w:val="single" w:sz="18" w:space="4" w:color="auto"/>
          <w:bottom w:val="single" w:sz="18" w:space="1" w:color="auto"/>
          <w:right w:val="single" w:sz="18" w:space="4" w:color="auto"/>
        </w:pBdr>
        <w:overflowPunct w:val="0"/>
        <w:textAlignment w:val="baseline"/>
        <w:rPr>
          <w:rFonts w:ascii="ＭＳ 明朝" w:hAnsi="Times New Roman"/>
          <w:color w:val="000000"/>
          <w:spacing w:val="2"/>
          <w:kern w:val="0"/>
          <w:szCs w:val="21"/>
        </w:rPr>
      </w:pPr>
      <w:r w:rsidRPr="00771F93">
        <w:rPr>
          <w:rFonts w:ascii="Times New Roman" w:hAnsi="Times New Roman" w:cs="ＭＳ 明朝" w:hint="eastAsia"/>
          <w:color w:val="000000"/>
          <w:kern w:val="0"/>
          <w:szCs w:val="21"/>
        </w:rPr>
        <w:t xml:space="preserve">　</w:t>
      </w:r>
      <w:r w:rsidR="009845FA">
        <w:rPr>
          <w:rFonts w:ascii="Times New Roman" w:hAnsi="Times New Roman" w:cs="ＭＳ 明朝" w:hint="eastAsia"/>
          <w:color w:val="000000"/>
          <w:kern w:val="0"/>
          <w:szCs w:val="21"/>
        </w:rPr>
        <w:t>2013</w:t>
      </w:r>
      <w:r w:rsidRPr="00771F93">
        <w:rPr>
          <w:rFonts w:ascii="Times New Roman" w:hAnsi="Times New Roman" w:cs="ＭＳ 明朝" w:hint="eastAsia"/>
          <w:color w:val="000000"/>
          <w:kern w:val="0"/>
          <w:szCs w:val="21"/>
        </w:rPr>
        <w:t>年</w:t>
      </w:r>
      <w:r w:rsidR="009845FA">
        <w:rPr>
          <w:rFonts w:ascii="Times New Roman" w:hAnsi="Times New Roman" w:cs="ＭＳ 明朝" w:hint="eastAsia"/>
          <w:color w:val="000000"/>
          <w:kern w:val="0"/>
          <w:szCs w:val="21"/>
        </w:rPr>
        <w:t>12</w:t>
      </w:r>
      <w:r w:rsidRPr="00771F93">
        <w:rPr>
          <w:rFonts w:ascii="Times New Roman" w:hAnsi="Times New Roman" w:cs="ＭＳ 明朝" w:hint="eastAsia"/>
          <w:color w:val="000000"/>
          <w:kern w:val="0"/>
          <w:szCs w:val="21"/>
        </w:rPr>
        <w:t>月</w:t>
      </w:r>
      <w:r w:rsidR="009845FA">
        <w:rPr>
          <w:rFonts w:ascii="Times New Roman" w:hAnsi="Times New Roman" w:cs="ＭＳ 明朝" w:hint="eastAsia"/>
          <w:color w:val="000000"/>
          <w:kern w:val="0"/>
          <w:szCs w:val="21"/>
        </w:rPr>
        <w:t>26</w:t>
      </w:r>
      <w:r w:rsidRPr="00771F93">
        <w:rPr>
          <w:rFonts w:ascii="Times New Roman" w:hAnsi="Times New Roman" w:cs="ＭＳ 明朝" w:hint="eastAsia"/>
          <w:color w:val="000000"/>
          <w:kern w:val="0"/>
          <w:szCs w:val="21"/>
        </w:rPr>
        <w:t>日　安倍首相　靖国神社参拝→アメリカ政府から「失望」</w:t>
      </w:r>
    </w:p>
    <w:p w:rsidR="000E1009" w:rsidRPr="00771F93" w:rsidRDefault="000E1009" w:rsidP="00771F93">
      <w:pPr>
        <w:pBdr>
          <w:top w:val="single" w:sz="18" w:space="1" w:color="auto"/>
          <w:left w:val="single" w:sz="18" w:space="4" w:color="auto"/>
          <w:bottom w:val="single" w:sz="18" w:space="1" w:color="auto"/>
          <w:right w:val="single" w:sz="18" w:space="4" w:color="auto"/>
        </w:pBdr>
        <w:overflowPunct w:val="0"/>
        <w:textAlignment w:val="baseline"/>
        <w:rPr>
          <w:rFonts w:ascii="ＭＳ 明朝" w:hAnsi="Times New Roman"/>
          <w:color w:val="000000"/>
          <w:spacing w:val="2"/>
          <w:kern w:val="0"/>
          <w:szCs w:val="21"/>
        </w:rPr>
      </w:pPr>
      <w:r w:rsidRPr="00771F93">
        <w:rPr>
          <w:rFonts w:ascii="Times New Roman" w:hAnsi="Times New Roman" w:cs="ＭＳ 明朝" w:hint="eastAsia"/>
          <w:color w:val="000000"/>
          <w:kern w:val="0"/>
          <w:szCs w:val="21"/>
        </w:rPr>
        <w:t xml:space="preserve">　</w:t>
      </w:r>
      <w:r w:rsidR="00BE6530">
        <w:rPr>
          <w:rFonts w:ascii="Times New Roman" w:hAnsi="Times New Roman" w:cs="ＭＳ 明朝" w:hint="eastAsia"/>
          <w:color w:val="000000"/>
          <w:kern w:val="0"/>
          <w:szCs w:val="21"/>
        </w:rPr>
        <w:t>2014</w:t>
      </w:r>
      <w:r w:rsidRPr="00771F93">
        <w:rPr>
          <w:rFonts w:ascii="Times New Roman" w:hAnsi="Times New Roman" w:cs="ＭＳ 明朝" w:hint="eastAsia"/>
          <w:color w:val="000000"/>
          <w:kern w:val="0"/>
          <w:szCs w:val="21"/>
        </w:rPr>
        <w:t>年</w:t>
      </w:r>
      <w:r w:rsidR="00BE6530">
        <w:rPr>
          <w:rFonts w:ascii="Times New Roman" w:hAnsi="Times New Roman" w:cs="ＭＳ 明朝" w:hint="eastAsia"/>
          <w:color w:val="000000"/>
          <w:kern w:val="0"/>
          <w:szCs w:val="21"/>
        </w:rPr>
        <w:t>4</w:t>
      </w:r>
      <w:r w:rsidRPr="00771F93">
        <w:rPr>
          <w:rFonts w:ascii="Times New Roman" w:hAnsi="Times New Roman" w:cs="ＭＳ 明朝" w:hint="eastAsia"/>
          <w:color w:val="000000"/>
          <w:kern w:val="0"/>
          <w:szCs w:val="21"/>
        </w:rPr>
        <w:t>月のオバマ米大統領訪日</w:t>
      </w:r>
      <w:r w:rsidRPr="00771F93">
        <w:rPr>
          <w:rFonts w:ascii="Times New Roman" w:hAnsi="Times New Roman"/>
          <w:color w:val="000000"/>
          <w:kern w:val="0"/>
          <w:szCs w:val="21"/>
        </w:rPr>
        <w:t xml:space="preserve">  </w:t>
      </w:r>
      <w:r w:rsidRPr="00771F93">
        <w:rPr>
          <w:rFonts w:ascii="Times New Roman" w:hAnsi="Times New Roman" w:cs="ＭＳ 明朝" w:hint="eastAsia"/>
          <w:color w:val="000000"/>
          <w:kern w:val="0"/>
          <w:szCs w:val="21"/>
        </w:rPr>
        <w:t>日中間の直接対話を強く促す</w:t>
      </w:r>
    </w:p>
    <w:p w:rsidR="000E1009" w:rsidRPr="00771F93" w:rsidRDefault="000E1009" w:rsidP="00771F93">
      <w:pPr>
        <w:pBdr>
          <w:top w:val="single" w:sz="18" w:space="1" w:color="auto"/>
          <w:left w:val="single" w:sz="18" w:space="4" w:color="auto"/>
          <w:bottom w:val="single" w:sz="18" w:space="1" w:color="auto"/>
          <w:right w:val="single" w:sz="18" w:space="4" w:color="auto"/>
        </w:pBdr>
        <w:overflowPunct w:val="0"/>
        <w:textAlignment w:val="baseline"/>
        <w:rPr>
          <w:rFonts w:ascii="ＭＳ 明朝" w:hAnsi="Times New Roman"/>
          <w:color w:val="000000"/>
          <w:spacing w:val="2"/>
          <w:kern w:val="0"/>
          <w:szCs w:val="21"/>
        </w:rPr>
      </w:pPr>
    </w:p>
    <w:p w:rsidR="000E1009" w:rsidRPr="00771F93" w:rsidRDefault="000E1009" w:rsidP="00771F93">
      <w:pPr>
        <w:pBdr>
          <w:top w:val="single" w:sz="18" w:space="1" w:color="auto"/>
          <w:left w:val="single" w:sz="18" w:space="4" w:color="auto"/>
          <w:bottom w:val="single" w:sz="18" w:space="1" w:color="auto"/>
          <w:right w:val="single" w:sz="18" w:space="4" w:color="auto"/>
        </w:pBdr>
        <w:overflowPunct w:val="0"/>
        <w:textAlignment w:val="baseline"/>
        <w:rPr>
          <w:rFonts w:ascii="ＭＳ 明朝" w:hAnsi="Times New Roman"/>
          <w:color w:val="000000"/>
          <w:spacing w:val="2"/>
          <w:kern w:val="0"/>
          <w:szCs w:val="21"/>
        </w:rPr>
      </w:pPr>
      <w:r w:rsidRPr="00771F93">
        <w:rPr>
          <w:rFonts w:ascii="Times New Roman" w:hAnsi="Times New Roman"/>
          <w:color w:val="000000"/>
          <w:kern w:val="0"/>
          <w:szCs w:val="21"/>
        </w:rPr>
        <w:t xml:space="preserve">Statement on Prime Minister Abe's December 26 Visit to </w:t>
      </w:r>
      <w:proofErr w:type="spellStart"/>
      <w:r w:rsidRPr="00771F93">
        <w:rPr>
          <w:rFonts w:ascii="Times New Roman" w:hAnsi="Times New Roman"/>
          <w:color w:val="000000"/>
          <w:kern w:val="0"/>
          <w:szCs w:val="21"/>
        </w:rPr>
        <w:t>Yasukuni</w:t>
      </w:r>
      <w:proofErr w:type="spellEnd"/>
      <w:r w:rsidRPr="00771F93">
        <w:rPr>
          <w:rFonts w:ascii="Times New Roman" w:hAnsi="Times New Roman"/>
          <w:color w:val="000000"/>
          <w:kern w:val="0"/>
          <w:szCs w:val="21"/>
        </w:rPr>
        <w:t xml:space="preserve"> Shrine</w:t>
      </w:r>
      <w:r w:rsidRPr="00771F93">
        <w:rPr>
          <w:rFonts w:ascii="Times New Roman" w:hAnsi="Times New Roman" w:cs="ＭＳ 明朝" w:hint="eastAsia"/>
          <w:color w:val="000000"/>
          <w:kern w:val="0"/>
          <w:szCs w:val="21"/>
        </w:rPr>
        <w:t>（アメリカ大使館発）</w:t>
      </w:r>
    </w:p>
    <w:p w:rsidR="000E1009" w:rsidRPr="00771F93" w:rsidRDefault="000E1009" w:rsidP="00771F93">
      <w:pPr>
        <w:pBdr>
          <w:top w:val="single" w:sz="18" w:space="1" w:color="auto"/>
          <w:left w:val="single" w:sz="18" w:space="4" w:color="auto"/>
          <w:bottom w:val="single" w:sz="18" w:space="1" w:color="auto"/>
          <w:right w:val="single" w:sz="18" w:space="4" w:color="auto"/>
        </w:pBdr>
        <w:overflowPunct w:val="0"/>
        <w:textAlignment w:val="baseline"/>
        <w:rPr>
          <w:rFonts w:ascii="ＭＳ 明朝" w:hAnsi="Times New Roman"/>
          <w:color w:val="000000"/>
          <w:spacing w:val="2"/>
          <w:kern w:val="0"/>
          <w:szCs w:val="21"/>
        </w:rPr>
      </w:pPr>
      <w:r w:rsidRPr="00771F93">
        <w:rPr>
          <w:rFonts w:ascii="Times New Roman" w:hAnsi="Times New Roman"/>
          <w:color w:val="000000"/>
          <w:kern w:val="0"/>
          <w:szCs w:val="21"/>
        </w:rPr>
        <w:t>December 26, 2013</w:t>
      </w:r>
    </w:p>
    <w:p w:rsidR="000E1009" w:rsidRPr="00771F93" w:rsidRDefault="000E1009" w:rsidP="00771F93">
      <w:pPr>
        <w:pBdr>
          <w:top w:val="single" w:sz="18" w:space="1" w:color="auto"/>
          <w:left w:val="single" w:sz="18" w:space="4" w:color="auto"/>
          <w:bottom w:val="single" w:sz="18" w:space="1" w:color="auto"/>
          <w:right w:val="single" w:sz="18" w:space="4" w:color="auto"/>
        </w:pBdr>
        <w:overflowPunct w:val="0"/>
        <w:jc w:val="left"/>
        <w:textAlignment w:val="baseline"/>
        <w:rPr>
          <w:rFonts w:ascii="ＭＳ 明朝" w:hAnsi="Times New Roman"/>
          <w:color w:val="000000"/>
          <w:spacing w:val="2"/>
          <w:kern w:val="0"/>
          <w:szCs w:val="21"/>
        </w:rPr>
      </w:pPr>
      <w:r w:rsidRPr="00771F93">
        <w:rPr>
          <w:rFonts w:ascii="Times New Roman" w:hAnsi="Times New Roman"/>
          <w:color w:val="000000"/>
          <w:kern w:val="0"/>
          <w:szCs w:val="21"/>
        </w:rPr>
        <w:t>Japan is a valued ally and friend. Nevertheless, the United States is disappointed that Japan's leadership has taken an action that will exacerbate tensions with Japan's neighbors.</w:t>
      </w:r>
    </w:p>
    <w:p w:rsidR="000E1009" w:rsidRPr="00771F93" w:rsidRDefault="000E1009" w:rsidP="00771F93">
      <w:pPr>
        <w:pBdr>
          <w:top w:val="single" w:sz="18" w:space="1" w:color="auto"/>
          <w:left w:val="single" w:sz="18" w:space="4" w:color="auto"/>
          <w:bottom w:val="single" w:sz="18" w:space="1" w:color="auto"/>
          <w:right w:val="single" w:sz="18" w:space="4" w:color="auto"/>
        </w:pBdr>
        <w:overflowPunct w:val="0"/>
        <w:jc w:val="left"/>
        <w:textAlignment w:val="baseline"/>
        <w:rPr>
          <w:rFonts w:ascii="ＭＳ 明朝" w:hAnsi="Times New Roman"/>
          <w:color w:val="000000"/>
          <w:spacing w:val="2"/>
          <w:kern w:val="0"/>
          <w:szCs w:val="21"/>
        </w:rPr>
      </w:pPr>
      <w:r w:rsidRPr="00771F93">
        <w:rPr>
          <w:rFonts w:ascii="Times New Roman" w:hAnsi="Times New Roman"/>
          <w:color w:val="000000"/>
          <w:kern w:val="0"/>
          <w:szCs w:val="21"/>
        </w:rPr>
        <w:t>The United States hopes that both Japan and its neighbors will find constructive ways to deal with sensitive issues from the past, to improve their relations, and to promote cooperation in advancing our shared goals of regional peace and stability.</w:t>
      </w:r>
    </w:p>
    <w:p w:rsidR="000E1009" w:rsidRPr="00771F93" w:rsidRDefault="000E1009" w:rsidP="00771F93">
      <w:pPr>
        <w:pBdr>
          <w:top w:val="single" w:sz="18" w:space="1" w:color="auto"/>
          <w:left w:val="single" w:sz="18" w:space="4" w:color="auto"/>
          <w:bottom w:val="single" w:sz="18" w:space="1" w:color="auto"/>
          <w:right w:val="single" w:sz="18" w:space="4" w:color="auto"/>
        </w:pBdr>
        <w:overflowPunct w:val="0"/>
        <w:jc w:val="left"/>
        <w:textAlignment w:val="baseline"/>
        <w:rPr>
          <w:rFonts w:ascii="ＭＳ 明朝" w:hAnsi="Times New Roman"/>
          <w:color w:val="000000"/>
          <w:spacing w:val="2"/>
          <w:kern w:val="0"/>
          <w:szCs w:val="21"/>
        </w:rPr>
      </w:pPr>
      <w:r w:rsidRPr="00771F93">
        <w:rPr>
          <w:rFonts w:ascii="Times New Roman" w:hAnsi="Times New Roman"/>
          <w:color w:val="000000"/>
          <w:kern w:val="0"/>
          <w:szCs w:val="21"/>
        </w:rPr>
        <w:t>We take note of the Prime Minister</w:t>
      </w:r>
      <w:r w:rsidRPr="00771F93">
        <w:rPr>
          <w:rFonts w:ascii="Times New Roman" w:hAnsi="Times New Roman" w:cs="ＭＳ 明朝" w:hint="eastAsia"/>
          <w:color w:val="000000"/>
          <w:kern w:val="0"/>
          <w:szCs w:val="21"/>
        </w:rPr>
        <w:t>’</w:t>
      </w:r>
      <w:r w:rsidRPr="00771F93">
        <w:rPr>
          <w:rFonts w:ascii="Times New Roman" w:hAnsi="Times New Roman"/>
          <w:color w:val="000000"/>
          <w:kern w:val="0"/>
          <w:szCs w:val="21"/>
        </w:rPr>
        <w:t>s expression of remorse for the past and his reaffirmation of Japan's commitment to peace.</w:t>
      </w:r>
    </w:p>
    <w:p w:rsidR="000E1009" w:rsidRPr="00771F93" w:rsidRDefault="000E1009" w:rsidP="00771F93">
      <w:pPr>
        <w:pBdr>
          <w:top w:val="single" w:sz="18" w:space="1" w:color="auto"/>
          <w:left w:val="single" w:sz="18" w:space="4" w:color="auto"/>
          <w:bottom w:val="single" w:sz="18" w:space="1" w:color="auto"/>
          <w:right w:val="single" w:sz="18" w:space="4" w:color="auto"/>
        </w:pBdr>
        <w:overflowPunct w:val="0"/>
        <w:textAlignment w:val="baseline"/>
        <w:rPr>
          <w:rFonts w:ascii="ＭＳ 明朝" w:hAnsi="Times New Roman"/>
          <w:color w:val="000000"/>
          <w:spacing w:val="2"/>
          <w:kern w:val="0"/>
          <w:szCs w:val="21"/>
        </w:rPr>
      </w:pPr>
    </w:p>
    <w:p w:rsidR="000E1009" w:rsidRPr="00771F93" w:rsidRDefault="000E1009" w:rsidP="00771F93">
      <w:pPr>
        <w:pBdr>
          <w:top w:val="single" w:sz="18" w:space="1" w:color="auto"/>
          <w:left w:val="single" w:sz="18" w:space="4" w:color="auto"/>
          <w:bottom w:val="single" w:sz="18" w:space="1" w:color="auto"/>
          <w:right w:val="single" w:sz="18" w:space="4" w:color="auto"/>
        </w:pBdr>
        <w:overflowPunct w:val="0"/>
        <w:textAlignment w:val="baseline"/>
        <w:rPr>
          <w:rFonts w:ascii="ＭＳ 明朝" w:hAnsi="Times New Roman"/>
          <w:color w:val="000000"/>
          <w:spacing w:val="2"/>
          <w:kern w:val="0"/>
          <w:szCs w:val="21"/>
        </w:rPr>
      </w:pPr>
      <w:r w:rsidRPr="00771F93">
        <w:rPr>
          <w:rFonts w:ascii="Times New Roman" w:hAnsi="Times New Roman" w:cs="ＭＳ 明朝" w:hint="eastAsia"/>
          <w:color w:val="000000"/>
          <w:kern w:val="0"/>
          <w:szCs w:val="21"/>
        </w:rPr>
        <w:t>武器輸出三原則の緩和</w:t>
      </w:r>
    </w:p>
    <w:p w:rsidR="000E1009" w:rsidRDefault="000E1009" w:rsidP="00771F93">
      <w:pPr>
        <w:pBdr>
          <w:top w:val="single" w:sz="18" w:space="1" w:color="auto"/>
          <w:left w:val="single" w:sz="18" w:space="4" w:color="auto"/>
          <w:bottom w:val="single" w:sz="18" w:space="1" w:color="auto"/>
          <w:right w:val="single" w:sz="18" w:space="4" w:color="auto"/>
        </w:pBdr>
        <w:overflowPunct w:val="0"/>
        <w:textAlignment w:val="baseline"/>
        <w:rPr>
          <w:rFonts w:ascii="Times New Roman" w:hAnsi="Times New Roman" w:cs="ＭＳ 明朝"/>
          <w:color w:val="000000"/>
          <w:kern w:val="0"/>
          <w:szCs w:val="21"/>
        </w:rPr>
      </w:pPr>
      <w:r w:rsidRPr="00771F93">
        <w:rPr>
          <w:rFonts w:ascii="Times New Roman" w:hAnsi="Times New Roman"/>
          <w:color w:val="000000"/>
          <w:kern w:val="0"/>
          <w:szCs w:val="21"/>
        </w:rPr>
        <w:t xml:space="preserve">  2014</w:t>
      </w:r>
      <w:r w:rsidRPr="00771F93">
        <w:rPr>
          <w:rFonts w:ascii="Times New Roman" w:hAnsi="Times New Roman" w:cs="ＭＳ 明朝" w:hint="eastAsia"/>
          <w:color w:val="000000"/>
          <w:kern w:val="0"/>
          <w:szCs w:val="21"/>
        </w:rPr>
        <w:t>年</w:t>
      </w:r>
      <w:r w:rsidR="00BE6530">
        <w:rPr>
          <w:rFonts w:ascii="Times New Roman" w:hAnsi="Times New Roman" w:cs="ＭＳ 明朝" w:hint="eastAsia"/>
          <w:color w:val="000000"/>
          <w:kern w:val="0"/>
          <w:szCs w:val="21"/>
        </w:rPr>
        <w:t>4</w:t>
      </w:r>
      <w:r w:rsidRPr="00771F93">
        <w:rPr>
          <w:rFonts w:ascii="Times New Roman" w:hAnsi="Times New Roman" w:cs="ＭＳ 明朝" w:hint="eastAsia"/>
          <w:color w:val="000000"/>
          <w:kern w:val="0"/>
          <w:szCs w:val="21"/>
        </w:rPr>
        <w:t>月に安倍内閣が閣議決定した「防衛装備移転三原則」で、武器輸出はこれまでの原則禁止から、条件を満たせば認められるようになった。防衛産業の育成が狙いの一つ。日本製品を含む戦闘機がイスラエルなどに売却される可能性が高まっている。</w:t>
      </w:r>
    </w:p>
    <w:p w:rsidR="00BE6530" w:rsidRDefault="00BE6530" w:rsidP="00771F93">
      <w:pPr>
        <w:pBdr>
          <w:top w:val="single" w:sz="18" w:space="1" w:color="auto"/>
          <w:left w:val="single" w:sz="18" w:space="4" w:color="auto"/>
          <w:bottom w:val="single" w:sz="18" w:space="1" w:color="auto"/>
          <w:right w:val="single" w:sz="18" w:space="4" w:color="auto"/>
        </w:pBdr>
        <w:overflowPunct w:val="0"/>
        <w:textAlignment w:val="baseline"/>
        <w:rPr>
          <w:rFonts w:ascii="Times New Roman" w:hAnsi="Times New Roman" w:cs="ＭＳ 明朝"/>
          <w:color w:val="000000"/>
          <w:kern w:val="0"/>
          <w:szCs w:val="21"/>
        </w:rPr>
      </w:pPr>
    </w:p>
    <w:p w:rsidR="000E1009" w:rsidRPr="00BE6530" w:rsidRDefault="000E1009" w:rsidP="00771F93">
      <w:pPr>
        <w:pBdr>
          <w:top w:val="double" w:sz="12" w:space="1" w:color="FF0000"/>
          <w:left w:val="double" w:sz="12" w:space="4" w:color="FF0000"/>
          <w:bottom w:val="double" w:sz="12" w:space="1" w:color="FF0000"/>
          <w:right w:val="double" w:sz="12" w:space="4" w:color="FF0000"/>
        </w:pBdr>
        <w:rPr>
          <w:rFonts w:ascii="ＭＳ 明朝" w:hAnsi="Times New Roman"/>
          <w:color w:val="FF0000"/>
          <w:spacing w:val="2"/>
          <w:kern w:val="0"/>
          <w:sz w:val="24"/>
          <w:szCs w:val="24"/>
        </w:rPr>
      </w:pPr>
      <w:r>
        <w:rPr>
          <w:rFonts w:ascii="Times New Roman" w:hAnsi="Times New Roman" w:cs="ＭＳ 明朝"/>
          <w:color w:val="000000"/>
          <w:kern w:val="0"/>
          <w:szCs w:val="21"/>
        </w:rPr>
        <w:br w:type="page"/>
      </w:r>
      <w:r w:rsidRPr="00BE6530">
        <w:rPr>
          <w:rFonts w:ascii="Times New Roman" w:hAnsi="Times New Roman" w:cs="ＭＳ 明朝" w:hint="eastAsia"/>
          <w:color w:val="FF0000"/>
          <w:kern w:val="0"/>
          <w:sz w:val="24"/>
          <w:szCs w:val="24"/>
        </w:rPr>
        <w:lastRenderedPageBreak/>
        <w:t>沖縄・辺野古基地新設（移設）強行は望ましい結果は得られない</w:t>
      </w:r>
    </w:p>
    <w:p w:rsidR="00F109F8" w:rsidRDefault="00277376" w:rsidP="00771F93">
      <w:pPr>
        <w:overflowPunct w:val="0"/>
        <w:textAlignment w:val="baseline"/>
        <w:rPr>
          <w:rFonts w:ascii="Times New Roman" w:hAnsi="Times New Roman" w:cs="ＭＳ 明朝"/>
          <w:color w:val="000000"/>
          <w:kern w:val="0"/>
          <w:szCs w:val="21"/>
        </w:rPr>
      </w:pPr>
      <w:r>
        <w:rPr>
          <w:rFonts w:ascii="Times New Roman" w:hAnsi="Times New Roman" w:cs="ＭＳ 明朝" w:hint="eastAsia"/>
          <w:color w:val="000000"/>
          <w:kern w:val="0"/>
          <w:szCs w:val="21"/>
        </w:rPr>
        <w:t xml:space="preserve">　</w:t>
      </w:r>
      <w:r w:rsidR="000E1009" w:rsidRPr="00771F93">
        <w:rPr>
          <w:rFonts w:ascii="Times New Roman" w:hAnsi="Times New Roman" w:cs="ＭＳ 明朝" w:hint="eastAsia"/>
          <w:color w:val="000000"/>
          <w:kern w:val="0"/>
          <w:szCs w:val="21"/>
        </w:rPr>
        <w:t xml:space="preserve">　</w:t>
      </w:r>
    </w:p>
    <w:p w:rsidR="000E1009" w:rsidRPr="00771F93" w:rsidRDefault="000E1009" w:rsidP="00BE6530">
      <w:pPr>
        <w:overflowPunct w:val="0"/>
        <w:ind w:firstLineChars="100" w:firstLine="210"/>
        <w:textAlignment w:val="baseline"/>
        <w:rPr>
          <w:rFonts w:ascii="ＭＳ 明朝" w:hAnsi="Times New Roman"/>
          <w:color w:val="000000"/>
          <w:spacing w:val="2"/>
          <w:kern w:val="0"/>
          <w:szCs w:val="21"/>
        </w:rPr>
      </w:pPr>
      <w:r w:rsidRPr="00771F93">
        <w:rPr>
          <w:rFonts w:ascii="Times New Roman" w:hAnsi="Times New Roman" w:cs="ＭＳ 明朝" w:hint="eastAsia"/>
          <w:color w:val="000000"/>
          <w:kern w:val="0"/>
          <w:szCs w:val="21"/>
        </w:rPr>
        <w:t>今年</w:t>
      </w:r>
      <w:r w:rsidR="00BE6530">
        <w:rPr>
          <w:rFonts w:ascii="Times New Roman" w:hAnsi="Times New Roman" w:cs="ＭＳ 明朝" w:hint="eastAsia"/>
          <w:color w:val="000000"/>
          <w:kern w:val="0"/>
          <w:szCs w:val="21"/>
        </w:rPr>
        <w:t>11</w:t>
      </w:r>
      <w:r w:rsidRPr="00771F93">
        <w:rPr>
          <w:rFonts w:ascii="Times New Roman" w:hAnsi="Times New Roman" w:cs="ＭＳ 明朝" w:hint="eastAsia"/>
          <w:color w:val="000000"/>
          <w:kern w:val="0"/>
          <w:szCs w:val="21"/>
        </w:rPr>
        <w:t>月</w:t>
      </w:r>
      <w:r w:rsidR="00BE6530">
        <w:rPr>
          <w:rFonts w:ascii="Times New Roman" w:hAnsi="Times New Roman" w:cs="ＭＳ 明朝" w:hint="eastAsia"/>
          <w:color w:val="000000"/>
          <w:kern w:val="0"/>
          <w:szCs w:val="21"/>
        </w:rPr>
        <w:t>16</w:t>
      </w:r>
      <w:r w:rsidRPr="00771F93">
        <w:rPr>
          <w:rFonts w:ascii="Times New Roman" w:hAnsi="Times New Roman" w:cs="ＭＳ 明朝" w:hint="eastAsia"/>
          <w:color w:val="000000"/>
          <w:kern w:val="0"/>
          <w:szCs w:val="21"/>
        </w:rPr>
        <w:t>日に実施された沖縄県知事選挙において、名護市辺野古沖にアメリカ海兵隊基地を新設することに反対する翁長雄志氏が、辺野古への新基地建設を容認していた現職の仲井間弘多（ひろかず）知事を</w:t>
      </w:r>
      <w:r w:rsidR="00277376">
        <w:rPr>
          <w:rFonts w:ascii="Times New Roman" w:hAnsi="Times New Roman" w:cs="ＭＳ 明朝" w:hint="eastAsia"/>
          <w:color w:val="000000"/>
          <w:kern w:val="0"/>
          <w:szCs w:val="21"/>
        </w:rPr>
        <w:t>約</w:t>
      </w:r>
      <w:r w:rsidR="00BE6530">
        <w:rPr>
          <w:rFonts w:ascii="Times New Roman" w:hAnsi="Times New Roman" w:cs="ＭＳ 明朝" w:hint="eastAsia"/>
          <w:color w:val="000000"/>
          <w:kern w:val="0"/>
          <w:szCs w:val="21"/>
        </w:rPr>
        <w:t>10</w:t>
      </w:r>
      <w:r w:rsidRPr="00771F93">
        <w:rPr>
          <w:rFonts w:ascii="Times New Roman" w:hAnsi="Times New Roman" w:cs="ＭＳ 明朝" w:hint="eastAsia"/>
          <w:color w:val="000000"/>
          <w:kern w:val="0"/>
          <w:szCs w:val="21"/>
        </w:rPr>
        <w:t>万票の差をもって破り、知事に就くことが決まった。翁長氏の得票は、沖縄本島のみならず、沖縄全県において圧倒的であり、全体としても過半数を占めている</w:t>
      </w:r>
      <w:r w:rsidR="00BE6530">
        <w:rPr>
          <w:rFonts w:ascii="Times New Roman" w:hAnsi="Times New Roman" w:cs="ＭＳ 明朝" w:hint="eastAsia"/>
          <w:color w:val="000000"/>
          <w:kern w:val="0"/>
          <w:szCs w:val="21"/>
        </w:rPr>
        <w:t>。（</w:t>
      </w:r>
      <w:r w:rsidRPr="00771F93">
        <w:rPr>
          <w:rFonts w:ascii="Times New Roman" w:hAnsi="Times New Roman" w:cs="ＭＳ 明朝" w:hint="eastAsia"/>
          <w:color w:val="000000"/>
          <w:kern w:val="0"/>
          <w:szCs w:val="21"/>
        </w:rPr>
        <w:t>仲井間氏自身、翁長氏と基地以外の点で政策に違いはなかったと選挙後に認めている。）</w:t>
      </w:r>
    </w:p>
    <w:p w:rsidR="000E1009" w:rsidRPr="00771F93" w:rsidRDefault="000E1009" w:rsidP="00771F93">
      <w:pPr>
        <w:overflowPunct w:val="0"/>
        <w:textAlignment w:val="baseline"/>
        <w:rPr>
          <w:rFonts w:ascii="ＭＳ 明朝" w:hAnsi="Times New Roman"/>
          <w:color w:val="000000"/>
          <w:spacing w:val="2"/>
          <w:kern w:val="0"/>
          <w:szCs w:val="21"/>
        </w:rPr>
      </w:pPr>
      <w:r w:rsidRPr="00771F93">
        <w:rPr>
          <w:rFonts w:ascii="Times New Roman" w:hAnsi="Times New Roman" w:cs="ＭＳ 明朝" w:hint="eastAsia"/>
          <w:color w:val="000000"/>
          <w:kern w:val="0"/>
          <w:szCs w:val="21"/>
        </w:rPr>
        <w:t xml:space="preserve">　また、翁長氏の那覇市長辞任に伴う那覇市長選挙でも翁長氏を支持する城間氏が大差で勝利を収めた。</w:t>
      </w:r>
    </w:p>
    <w:p w:rsidR="000E1009" w:rsidRPr="00771F93" w:rsidRDefault="000E1009" w:rsidP="00771F93">
      <w:pPr>
        <w:overflowPunct w:val="0"/>
        <w:textAlignment w:val="baseline"/>
        <w:rPr>
          <w:rFonts w:ascii="ＭＳ 明朝" w:hAnsi="Times New Roman"/>
          <w:color w:val="000000"/>
          <w:spacing w:val="2"/>
          <w:kern w:val="0"/>
          <w:szCs w:val="21"/>
        </w:rPr>
      </w:pPr>
      <w:r w:rsidRPr="00771F93">
        <w:rPr>
          <w:rFonts w:ascii="Times New Roman" w:hAnsi="Times New Roman" w:cs="ＭＳ 明朝" w:hint="eastAsia"/>
          <w:color w:val="000000"/>
          <w:kern w:val="0"/>
          <w:szCs w:val="21"/>
        </w:rPr>
        <w:t xml:space="preserve">　政府は、この選挙結果にもかかわらず、沖縄県民の声を聞こうとせず、辺野古への新基地建設を強行しようとしている。この政策は、以下のような意味で誤りである。</w:t>
      </w:r>
    </w:p>
    <w:p w:rsidR="000E1009" w:rsidRPr="00771F93" w:rsidRDefault="000E1009" w:rsidP="00771F93">
      <w:pPr>
        <w:overflowPunct w:val="0"/>
        <w:textAlignment w:val="baseline"/>
        <w:rPr>
          <w:rFonts w:ascii="ＭＳ 明朝" w:hAnsi="Times New Roman"/>
          <w:color w:val="000000"/>
          <w:spacing w:val="2"/>
          <w:kern w:val="0"/>
          <w:szCs w:val="21"/>
        </w:rPr>
      </w:pPr>
      <w:r w:rsidRPr="00771F93">
        <w:rPr>
          <w:rFonts w:ascii="Times New Roman" w:hAnsi="Times New Roman" w:cs="ＭＳ 明朝" w:hint="eastAsia"/>
          <w:color w:val="000000"/>
          <w:kern w:val="0"/>
          <w:szCs w:val="21"/>
        </w:rPr>
        <w:t>（１）沖縄の人々に日米安保の負担を過重に負わせること自体に問題がある</w:t>
      </w:r>
    </w:p>
    <w:p w:rsidR="000E1009" w:rsidRPr="00771F93" w:rsidRDefault="000E1009" w:rsidP="00771F93">
      <w:pPr>
        <w:overflowPunct w:val="0"/>
        <w:textAlignment w:val="baseline"/>
        <w:rPr>
          <w:rFonts w:ascii="ＭＳ 明朝" w:hAnsi="Times New Roman"/>
          <w:color w:val="000000"/>
          <w:spacing w:val="2"/>
          <w:kern w:val="0"/>
          <w:szCs w:val="21"/>
        </w:rPr>
      </w:pPr>
      <w:r w:rsidRPr="00771F93">
        <w:rPr>
          <w:rFonts w:ascii="Times New Roman" w:hAnsi="Times New Roman" w:cs="ＭＳ 明朝" w:hint="eastAsia"/>
          <w:color w:val="000000"/>
          <w:kern w:val="0"/>
          <w:szCs w:val="21"/>
        </w:rPr>
        <w:t>（２）沖縄の人々の中にある日本政府や本土住民に対する不信感や被差別感をますます増幅させる</w:t>
      </w:r>
    </w:p>
    <w:p w:rsidR="000E1009" w:rsidRPr="00771F93" w:rsidRDefault="000E1009" w:rsidP="00771F93">
      <w:pPr>
        <w:overflowPunct w:val="0"/>
        <w:textAlignment w:val="baseline"/>
        <w:rPr>
          <w:rFonts w:ascii="ＭＳ 明朝" w:hAnsi="Times New Roman"/>
          <w:color w:val="000000"/>
          <w:spacing w:val="2"/>
          <w:kern w:val="0"/>
          <w:szCs w:val="21"/>
        </w:rPr>
      </w:pPr>
      <w:r w:rsidRPr="00771F93">
        <w:rPr>
          <w:rFonts w:ascii="Times New Roman" w:hAnsi="Times New Roman" w:cs="ＭＳ 明朝" w:hint="eastAsia"/>
          <w:color w:val="000000"/>
          <w:kern w:val="0"/>
          <w:szCs w:val="21"/>
        </w:rPr>
        <w:t>（３）民意を無視した基地建設を行っても、基地自体の正当性が確保されず、運用上問題が出ることは明らかである</w:t>
      </w:r>
    </w:p>
    <w:p w:rsidR="000E1009" w:rsidRPr="00771F93" w:rsidRDefault="000E1009" w:rsidP="00771F93">
      <w:pPr>
        <w:overflowPunct w:val="0"/>
        <w:textAlignment w:val="baseline"/>
        <w:rPr>
          <w:rFonts w:ascii="ＭＳ 明朝" w:hAnsi="Times New Roman"/>
          <w:color w:val="000000"/>
          <w:spacing w:val="2"/>
          <w:kern w:val="0"/>
          <w:szCs w:val="21"/>
        </w:rPr>
      </w:pPr>
      <w:r w:rsidRPr="00771F93">
        <w:rPr>
          <w:rFonts w:ascii="Times New Roman" w:hAnsi="Times New Roman" w:cs="ＭＳ 明朝" w:hint="eastAsia"/>
          <w:color w:val="000000"/>
          <w:kern w:val="0"/>
          <w:szCs w:val="21"/>
        </w:rPr>
        <w:t>（４）アメリカ政府もかねてより地元の理解を得た上での基地の設置を求めてきている</w:t>
      </w:r>
    </w:p>
    <w:p w:rsidR="000E1009" w:rsidRPr="00771F93" w:rsidRDefault="000E1009" w:rsidP="00771F93">
      <w:pPr>
        <w:overflowPunct w:val="0"/>
        <w:textAlignment w:val="baseline"/>
        <w:rPr>
          <w:rFonts w:ascii="ＭＳ 明朝" w:hAnsi="Times New Roman"/>
          <w:color w:val="000000"/>
          <w:spacing w:val="2"/>
          <w:kern w:val="0"/>
          <w:szCs w:val="21"/>
        </w:rPr>
      </w:pPr>
      <w:r w:rsidRPr="00771F93">
        <w:rPr>
          <w:rFonts w:ascii="Times New Roman" w:hAnsi="Times New Roman" w:cs="ＭＳ 明朝" w:hint="eastAsia"/>
          <w:color w:val="000000"/>
          <w:kern w:val="0"/>
          <w:szCs w:val="21"/>
        </w:rPr>
        <w:t xml:space="preserve">　現状では、政府が新基地の建設を強行しても、沖縄にとっても、日本全体にとっても、そして対米関係の上でも望ましい結果は得られない。</w:t>
      </w:r>
    </w:p>
    <w:p w:rsidR="000E1009" w:rsidRPr="00771F93" w:rsidRDefault="000E1009" w:rsidP="00771F93">
      <w:pPr>
        <w:overflowPunct w:val="0"/>
        <w:textAlignment w:val="baseline"/>
        <w:rPr>
          <w:rFonts w:ascii="ＭＳ 明朝" w:hAnsi="Times New Roman"/>
          <w:color w:val="000000"/>
          <w:spacing w:val="2"/>
          <w:kern w:val="0"/>
          <w:szCs w:val="21"/>
        </w:rPr>
      </w:pPr>
      <w:r w:rsidRPr="00771F93">
        <w:rPr>
          <w:rFonts w:ascii="Times New Roman" w:hAnsi="Times New Roman" w:cs="ＭＳ 明朝" w:hint="eastAsia"/>
          <w:color w:val="000000"/>
          <w:kern w:val="0"/>
          <w:szCs w:val="21"/>
        </w:rPr>
        <w:t xml:space="preserve">　まずは、基地の建設を中止し、日米安保の安定的な運用と正しい形での安全保障政策が追求されるべきである。</w:t>
      </w:r>
    </w:p>
    <w:p w:rsidR="000E1009" w:rsidRPr="00771F93" w:rsidRDefault="000E1009" w:rsidP="00771F93">
      <w:pPr>
        <w:overflowPunct w:val="0"/>
        <w:textAlignment w:val="baseline"/>
        <w:rPr>
          <w:rFonts w:ascii="ＭＳ 明朝" w:hAnsi="Times New Roman"/>
          <w:color w:val="000000"/>
          <w:spacing w:val="2"/>
          <w:kern w:val="0"/>
          <w:szCs w:val="21"/>
        </w:rPr>
      </w:pPr>
      <w:r w:rsidRPr="00771F93">
        <w:rPr>
          <w:rFonts w:ascii="Times New Roman" w:hAnsi="Times New Roman" w:cs="ＭＳ 明朝" w:hint="eastAsia"/>
          <w:color w:val="000000"/>
          <w:kern w:val="0"/>
          <w:szCs w:val="21"/>
        </w:rPr>
        <w:t xml:space="preserve">　ちなみに、沖縄に海兵隊基地を置く以外の方法で、海兵隊の運用に支障を来さない方法は存在するし、仲井間氏が昨年末に姿勢を転換させなければ、アメリカの側から新しい提案を模索する動きがあったとの指摘もある（新外交イニシアティブ）。</w:t>
      </w:r>
    </w:p>
    <w:p w:rsidR="000E1009" w:rsidRDefault="000E1009" w:rsidP="00771F93">
      <w:pPr>
        <w:overflowPunct w:val="0"/>
        <w:textAlignment w:val="baseline"/>
        <w:rPr>
          <w:rFonts w:ascii="Times New Roman" w:hAnsi="Times New Roman" w:cs="ＭＳ 明朝"/>
          <w:color w:val="000000"/>
          <w:kern w:val="0"/>
          <w:szCs w:val="21"/>
        </w:rPr>
      </w:pPr>
      <w:r w:rsidRPr="00771F93">
        <w:rPr>
          <w:rFonts w:ascii="Times New Roman" w:hAnsi="Times New Roman" w:cs="ＭＳ 明朝" w:hint="eastAsia"/>
          <w:color w:val="000000"/>
          <w:kern w:val="0"/>
          <w:szCs w:val="21"/>
        </w:rPr>
        <w:t xml:space="preserve">　日本政府は、沖縄県民、アメリカ政府と一体となって、東アジアの安全保障、日本の安全、沖縄県民の安全を確保する新しい方法を模索すべきである。</w:t>
      </w:r>
    </w:p>
    <w:p w:rsidR="000E1009" w:rsidRDefault="000E1009" w:rsidP="00771F93">
      <w:pPr>
        <w:overflowPunct w:val="0"/>
        <w:textAlignment w:val="baseline"/>
        <w:rPr>
          <w:rFonts w:ascii="Times New Roman" w:hAnsi="Times New Roman" w:cs="ＭＳ 明朝"/>
          <w:color w:val="000000"/>
          <w:kern w:val="0"/>
          <w:szCs w:val="21"/>
        </w:rPr>
      </w:pPr>
    </w:p>
    <w:p w:rsidR="00BE6530" w:rsidRDefault="00BE6530" w:rsidP="00771F93">
      <w:pPr>
        <w:pBdr>
          <w:top w:val="single" w:sz="18" w:space="1" w:color="auto"/>
          <w:left w:val="single" w:sz="18" w:space="4" w:color="auto"/>
          <w:bottom w:val="single" w:sz="18" w:space="1" w:color="auto"/>
          <w:right w:val="single" w:sz="18" w:space="4" w:color="auto"/>
        </w:pBdr>
        <w:overflowPunct w:val="0"/>
        <w:textAlignment w:val="baseline"/>
        <w:rPr>
          <w:rFonts w:ascii="Times New Roman" w:hAnsi="Times New Roman" w:cs="ＭＳ 明朝"/>
          <w:color w:val="000000"/>
          <w:kern w:val="0"/>
          <w:szCs w:val="21"/>
        </w:rPr>
      </w:pPr>
    </w:p>
    <w:p w:rsidR="000E1009" w:rsidRPr="00771F93" w:rsidRDefault="000E1009" w:rsidP="00771F93">
      <w:pPr>
        <w:pBdr>
          <w:top w:val="single" w:sz="18" w:space="1" w:color="auto"/>
          <w:left w:val="single" w:sz="18" w:space="4" w:color="auto"/>
          <w:bottom w:val="single" w:sz="18" w:space="1" w:color="auto"/>
          <w:right w:val="single" w:sz="18" w:space="4" w:color="auto"/>
        </w:pBdr>
        <w:overflowPunct w:val="0"/>
        <w:textAlignment w:val="baseline"/>
        <w:rPr>
          <w:rFonts w:ascii="ＭＳ 明朝" w:hAnsi="Times New Roman"/>
          <w:color w:val="000000"/>
          <w:spacing w:val="2"/>
          <w:kern w:val="0"/>
          <w:szCs w:val="21"/>
        </w:rPr>
      </w:pPr>
      <w:r w:rsidRPr="00771F93">
        <w:rPr>
          <w:rFonts w:ascii="Times New Roman" w:hAnsi="Times New Roman" w:cs="ＭＳ 明朝" w:hint="eastAsia"/>
          <w:color w:val="000000"/>
          <w:kern w:val="0"/>
          <w:szCs w:val="21"/>
        </w:rPr>
        <w:t>沖縄県知事選挙開票結果（選管最終）</w:t>
      </w:r>
    </w:p>
    <w:p w:rsidR="000E1009" w:rsidRPr="00771F93" w:rsidRDefault="000E1009" w:rsidP="00771F93">
      <w:pPr>
        <w:pBdr>
          <w:top w:val="single" w:sz="18" w:space="1" w:color="auto"/>
          <w:left w:val="single" w:sz="18" w:space="4" w:color="auto"/>
          <w:bottom w:val="single" w:sz="18" w:space="1" w:color="auto"/>
          <w:right w:val="single" w:sz="18" w:space="4" w:color="auto"/>
        </w:pBdr>
        <w:overflowPunct w:val="0"/>
        <w:textAlignment w:val="baseline"/>
        <w:rPr>
          <w:rFonts w:ascii="ＭＳ 明朝" w:hAnsi="Times New Roman"/>
          <w:color w:val="000000"/>
          <w:spacing w:val="2"/>
          <w:kern w:val="0"/>
          <w:szCs w:val="21"/>
        </w:rPr>
      </w:pPr>
      <w:r w:rsidRPr="00771F93">
        <w:rPr>
          <w:rFonts w:ascii="Times New Roman" w:hAnsi="Times New Roman" w:cs="ＭＳ 明朝" w:hint="eastAsia"/>
          <w:color w:val="000000"/>
          <w:kern w:val="0"/>
          <w:szCs w:val="21"/>
        </w:rPr>
        <w:t>当</w:t>
      </w:r>
      <w:r w:rsidRPr="00771F93">
        <w:rPr>
          <w:rFonts w:ascii="Times New Roman" w:hAnsi="Times New Roman"/>
          <w:color w:val="000000"/>
          <w:kern w:val="0"/>
          <w:szCs w:val="21"/>
        </w:rPr>
        <w:t xml:space="preserve"> </w:t>
      </w:r>
      <w:r w:rsidRPr="00771F93">
        <w:rPr>
          <w:rFonts w:ascii="Times New Roman" w:hAnsi="Times New Roman" w:cs="ＭＳ 明朝" w:hint="eastAsia"/>
          <w:color w:val="000000"/>
          <w:kern w:val="0"/>
          <w:szCs w:val="21"/>
        </w:rPr>
        <w:t>翁長　雄志</w:t>
      </w:r>
      <w:r w:rsidRPr="00771F93">
        <w:rPr>
          <w:rFonts w:ascii="Times New Roman" w:hAnsi="Times New Roman"/>
          <w:color w:val="000000"/>
          <w:kern w:val="0"/>
          <w:szCs w:val="21"/>
        </w:rPr>
        <w:t xml:space="preserve"> 360,820</w:t>
      </w:r>
      <w:r w:rsidRPr="00771F93">
        <w:rPr>
          <w:rFonts w:ascii="Times New Roman" w:hAnsi="Times New Roman" w:cs="ＭＳ 明朝" w:hint="eastAsia"/>
          <w:color w:val="000000"/>
          <w:kern w:val="0"/>
          <w:szCs w:val="21"/>
        </w:rPr>
        <w:t xml:space="preserve">票　</w:t>
      </w:r>
      <w:r w:rsidRPr="00771F93">
        <w:rPr>
          <w:rFonts w:ascii="Times New Roman" w:hAnsi="Times New Roman"/>
          <w:color w:val="000000"/>
          <w:kern w:val="0"/>
          <w:szCs w:val="21"/>
        </w:rPr>
        <w:t xml:space="preserve">     </w:t>
      </w:r>
      <w:r w:rsidR="00BE6530">
        <w:rPr>
          <w:rFonts w:ascii="Times New Roman" w:hAnsi="Times New Roman"/>
          <w:color w:val="000000"/>
          <w:kern w:val="0"/>
          <w:szCs w:val="21"/>
        </w:rPr>
        <w:t xml:space="preserve"> 51.6</w:t>
      </w:r>
      <w:r w:rsidRPr="00771F93">
        <w:rPr>
          <w:rFonts w:ascii="Times New Roman" w:hAnsi="Times New Roman" w:cs="ＭＳ 明朝" w:hint="eastAsia"/>
          <w:color w:val="000000"/>
          <w:kern w:val="0"/>
          <w:szCs w:val="21"/>
        </w:rPr>
        <w:t>％</w:t>
      </w:r>
    </w:p>
    <w:p w:rsidR="000E1009" w:rsidRPr="00771F93" w:rsidRDefault="000E1009" w:rsidP="00771F93">
      <w:pPr>
        <w:pBdr>
          <w:top w:val="single" w:sz="18" w:space="1" w:color="auto"/>
          <w:left w:val="single" w:sz="18" w:space="4" w:color="auto"/>
          <w:bottom w:val="single" w:sz="18" w:space="1" w:color="auto"/>
          <w:right w:val="single" w:sz="18" w:space="4" w:color="auto"/>
        </w:pBdr>
        <w:overflowPunct w:val="0"/>
        <w:textAlignment w:val="baseline"/>
        <w:rPr>
          <w:rFonts w:ascii="ＭＳ 明朝" w:hAnsi="Times New Roman"/>
          <w:color w:val="000000"/>
          <w:spacing w:val="2"/>
          <w:kern w:val="0"/>
          <w:szCs w:val="21"/>
        </w:rPr>
      </w:pPr>
      <w:r w:rsidRPr="00771F93">
        <w:rPr>
          <w:rFonts w:ascii="Times New Roman" w:hAnsi="Times New Roman"/>
          <w:color w:val="000000"/>
          <w:kern w:val="0"/>
          <w:szCs w:val="21"/>
        </w:rPr>
        <w:t xml:space="preserve">   </w:t>
      </w:r>
      <w:r w:rsidRPr="00771F93">
        <w:rPr>
          <w:rFonts w:ascii="Times New Roman" w:hAnsi="Times New Roman" w:cs="ＭＳ 明朝" w:hint="eastAsia"/>
          <w:color w:val="000000"/>
          <w:kern w:val="0"/>
          <w:szCs w:val="21"/>
        </w:rPr>
        <w:t>仲井真弘多</w:t>
      </w:r>
      <w:r w:rsidRPr="00771F93">
        <w:rPr>
          <w:rFonts w:ascii="Times New Roman" w:hAnsi="Times New Roman"/>
          <w:color w:val="000000"/>
          <w:kern w:val="0"/>
          <w:szCs w:val="21"/>
        </w:rPr>
        <w:t xml:space="preserve"> 261,076</w:t>
      </w:r>
      <w:r w:rsidRPr="00771F93">
        <w:rPr>
          <w:rFonts w:ascii="Times New Roman" w:hAnsi="Times New Roman" w:cs="ＭＳ 明朝" w:hint="eastAsia"/>
          <w:color w:val="000000"/>
          <w:kern w:val="0"/>
          <w:szCs w:val="21"/>
        </w:rPr>
        <w:t>票</w:t>
      </w:r>
      <w:r w:rsidRPr="00771F93">
        <w:rPr>
          <w:rFonts w:ascii="Times New Roman" w:hAnsi="Times New Roman"/>
          <w:color w:val="000000"/>
          <w:kern w:val="0"/>
          <w:szCs w:val="21"/>
        </w:rPr>
        <w:t xml:space="preserve">        </w:t>
      </w:r>
      <w:r w:rsidR="00BE6530">
        <w:rPr>
          <w:rFonts w:ascii="Times New Roman" w:hAnsi="Times New Roman" w:cs="ＭＳ 明朝" w:hint="eastAsia"/>
          <w:color w:val="000000"/>
          <w:kern w:val="0"/>
          <w:szCs w:val="21"/>
        </w:rPr>
        <w:t>37.3</w:t>
      </w:r>
      <w:r w:rsidRPr="00771F93">
        <w:rPr>
          <w:rFonts w:ascii="Times New Roman" w:hAnsi="Times New Roman" w:cs="ＭＳ 明朝" w:hint="eastAsia"/>
          <w:color w:val="000000"/>
          <w:kern w:val="0"/>
          <w:szCs w:val="21"/>
        </w:rPr>
        <w:t>％</w:t>
      </w:r>
    </w:p>
    <w:p w:rsidR="000E1009" w:rsidRPr="00771F93" w:rsidRDefault="000E1009" w:rsidP="00771F93">
      <w:pPr>
        <w:pBdr>
          <w:top w:val="single" w:sz="18" w:space="1" w:color="auto"/>
          <w:left w:val="single" w:sz="18" w:space="4" w:color="auto"/>
          <w:bottom w:val="single" w:sz="18" w:space="1" w:color="auto"/>
          <w:right w:val="single" w:sz="18" w:space="4" w:color="auto"/>
        </w:pBdr>
        <w:overflowPunct w:val="0"/>
        <w:textAlignment w:val="baseline"/>
        <w:rPr>
          <w:rFonts w:ascii="ＭＳ 明朝" w:hAnsi="Times New Roman"/>
          <w:color w:val="000000"/>
          <w:spacing w:val="2"/>
          <w:kern w:val="0"/>
          <w:szCs w:val="21"/>
        </w:rPr>
      </w:pPr>
      <w:r w:rsidRPr="00771F93">
        <w:rPr>
          <w:rFonts w:ascii="Times New Roman" w:hAnsi="Times New Roman"/>
          <w:color w:val="000000"/>
          <w:kern w:val="0"/>
          <w:szCs w:val="21"/>
        </w:rPr>
        <w:t xml:space="preserve">   </w:t>
      </w:r>
      <w:r w:rsidRPr="00771F93">
        <w:rPr>
          <w:rFonts w:ascii="Times New Roman" w:hAnsi="Times New Roman" w:cs="ＭＳ 明朝" w:hint="eastAsia"/>
          <w:color w:val="000000"/>
          <w:kern w:val="0"/>
          <w:szCs w:val="21"/>
        </w:rPr>
        <w:t>下地　幹郎</w:t>
      </w:r>
      <w:r w:rsidRPr="00771F93">
        <w:rPr>
          <w:rFonts w:ascii="Times New Roman" w:hAnsi="Times New Roman"/>
          <w:color w:val="000000"/>
          <w:kern w:val="0"/>
          <w:szCs w:val="21"/>
        </w:rPr>
        <w:t xml:space="preserve">  69,447</w:t>
      </w:r>
      <w:r w:rsidRPr="00771F93">
        <w:rPr>
          <w:rFonts w:ascii="Times New Roman" w:hAnsi="Times New Roman" w:cs="ＭＳ 明朝" w:hint="eastAsia"/>
          <w:color w:val="000000"/>
          <w:kern w:val="0"/>
          <w:szCs w:val="21"/>
        </w:rPr>
        <w:t>票</w:t>
      </w:r>
      <w:r w:rsidRPr="00771F93">
        <w:rPr>
          <w:rFonts w:ascii="Times New Roman" w:hAnsi="Times New Roman"/>
          <w:color w:val="000000"/>
          <w:kern w:val="0"/>
          <w:szCs w:val="21"/>
        </w:rPr>
        <w:t xml:space="preserve">        </w:t>
      </w:r>
      <w:r w:rsidR="00BE6530">
        <w:rPr>
          <w:rFonts w:ascii="Times New Roman" w:hAnsi="Times New Roman" w:cs="ＭＳ 明朝" w:hint="eastAsia"/>
          <w:color w:val="000000"/>
          <w:kern w:val="0"/>
          <w:szCs w:val="21"/>
        </w:rPr>
        <w:t>10.0</w:t>
      </w:r>
      <w:r w:rsidRPr="00771F93">
        <w:rPr>
          <w:rFonts w:ascii="Times New Roman" w:hAnsi="Times New Roman" w:cs="ＭＳ 明朝" w:hint="eastAsia"/>
          <w:color w:val="000000"/>
          <w:kern w:val="0"/>
          <w:szCs w:val="21"/>
        </w:rPr>
        <w:t>％</w:t>
      </w:r>
    </w:p>
    <w:p w:rsidR="000E1009" w:rsidRPr="00771F93" w:rsidRDefault="000E1009" w:rsidP="00771F93">
      <w:pPr>
        <w:pBdr>
          <w:top w:val="single" w:sz="18" w:space="1" w:color="auto"/>
          <w:left w:val="single" w:sz="18" w:space="4" w:color="auto"/>
          <w:bottom w:val="single" w:sz="18" w:space="1" w:color="auto"/>
          <w:right w:val="single" w:sz="18" w:space="4" w:color="auto"/>
        </w:pBdr>
        <w:overflowPunct w:val="0"/>
        <w:textAlignment w:val="baseline"/>
        <w:rPr>
          <w:rFonts w:ascii="ＭＳ 明朝" w:hAnsi="Times New Roman"/>
          <w:color w:val="000000"/>
          <w:spacing w:val="2"/>
          <w:kern w:val="0"/>
          <w:szCs w:val="21"/>
        </w:rPr>
      </w:pPr>
      <w:r w:rsidRPr="00771F93">
        <w:rPr>
          <w:rFonts w:ascii="Times New Roman" w:hAnsi="Times New Roman"/>
          <w:color w:val="000000"/>
          <w:kern w:val="0"/>
          <w:szCs w:val="21"/>
        </w:rPr>
        <w:t xml:space="preserve">   </w:t>
      </w:r>
      <w:r w:rsidRPr="00771F93">
        <w:rPr>
          <w:rFonts w:ascii="Times New Roman" w:hAnsi="Times New Roman" w:cs="ＭＳ 明朝" w:hint="eastAsia"/>
          <w:color w:val="000000"/>
          <w:kern w:val="0"/>
          <w:szCs w:val="21"/>
        </w:rPr>
        <w:t>喜納　昌吉</w:t>
      </w:r>
      <w:r w:rsidRPr="00771F93">
        <w:rPr>
          <w:rFonts w:ascii="Times New Roman" w:hAnsi="Times New Roman"/>
          <w:color w:val="000000"/>
          <w:kern w:val="0"/>
          <w:szCs w:val="21"/>
        </w:rPr>
        <w:t xml:space="preserve">   7,821</w:t>
      </w:r>
      <w:r w:rsidRPr="00771F93">
        <w:rPr>
          <w:rFonts w:ascii="Times New Roman" w:hAnsi="Times New Roman" w:cs="ＭＳ 明朝" w:hint="eastAsia"/>
          <w:color w:val="000000"/>
          <w:kern w:val="0"/>
          <w:szCs w:val="21"/>
        </w:rPr>
        <w:t>票</w:t>
      </w:r>
      <w:r w:rsidRPr="00771F93">
        <w:rPr>
          <w:rFonts w:ascii="Times New Roman" w:hAnsi="Times New Roman"/>
          <w:color w:val="000000"/>
          <w:kern w:val="0"/>
          <w:szCs w:val="21"/>
        </w:rPr>
        <w:t xml:space="preserve">         </w:t>
      </w:r>
      <w:r w:rsidR="00BE6530">
        <w:rPr>
          <w:rFonts w:ascii="Times New Roman" w:hAnsi="Times New Roman" w:cs="ＭＳ 明朝" w:hint="eastAsia"/>
          <w:color w:val="000000"/>
          <w:kern w:val="0"/>
          <w:szCs w:val="21"/>
        </w:rPr>
        <w:t>1.1</w:t>
      </w:r>
      <w:r w:rsidRPr="00771F93">
        <w:rPr>
          <w:rFonts w:ascii="Times New Roman" w:hAnsi="Times New Roman" w:cs="ＭＳ 明朝" w:hint="eastAsia"/>
          <w:color w:val="000000"/>
          <w:kern w:val="0"/>
          <w:szCs w:val="21"/>
        </w:rPr>
        <w:t>％</w:t>
      </w:r>
    </w:p>
    <w:p w:rsidR="000E1009" w:rsidRPr="00771F93" w:rsidRDefault="000E1009" w:rsidP="00771F93">
      <w:pPr>
        <w:pBdr>
          <w:top w:val="single" w:sz="18" w:space="1" w:color="auto"/>
          <w:left w:val="single" w:sz="18" w:space="4" w:color="auto"/>
          <w:bottom w:val="single" w:sz="18" w:space="1" w:color="auto"/>
          <w:right w:val="single" w:sz="18" w:space="4" w:color="auto"/>
        </w:pBdr>
        <w:overflowPunct w:val="0"/>
        <w:textAlignment w:val="baseline"/>
        <w:rPr>
          <w:rFonts w:ascii="ＭＳ 明朝" w:hAnsi="Times New Roman"/>
          <w:color w:val="000000"/>
          <w:spacing w:val="2"/>
          <w:kern w:val="0"/>
          <w:szCs w:val="21"/>
        </w:rPr>
      </w:pPr>
      <w:r w:rsidRPr="00771F93">
        <w:rPr>
          <w:rFonts w:ascii="Times New Roman" w:hAnsi="Times New Roman" w:cs="ＭＳ 明朝" w:hint="eastAsia"/>
          <w:color w:val="000000"/>
          <w:kern w:val="0"/>
          <w:szCs w:val="21"/>
        </w:rPr>
        <w:t>那覇市長選挙開票結果（選管最終）</w:t>
      </w:r>
    </w:p>
    <w:p w:rsidR="000E1009" w:rsidRPr="00771F93" w:rsidRDefault="000E1009" w:rsidP="00771F93">
      <w:pPr>
        <w:pBdr>
          <w:top w:val="single" w:sz="18" w:space="1" w:color="auto"/>
          <w:left w:val="single" w:sz="18" w:space="4" w:color="auto"/>
          <w:bottom w:val="single" w:sz="18" w:space="1" w:color="auto"/>
          <w:right w:val="single" w:sz="18" w:space="4" w:color="auto"/>
        </w:pBdr>
        <w:overflowPunct w:val="0"/>
        <w:textAlignment w:val="baseline"/>
        <w:rPr>
          <w:rFonts w:ascii="ＭＳ 明朝" w:hAnsi="Times New Roman"/>
          <w:color w:val="000000"/>
          <w:spacing w:val="2"/>
          <w:kern w:val="0"/>
          <w:szCs w:val="21"/>
        </w:rPr>
      </w:pPr>
      <w:r w:rsidRPr="00771F93">
        <w:rPr>
          <w:rFonts w:ascii="Times New Roman" w:hAnsi="Times New Roman" w:cs="ＭＳ 明朝" w:hint="eastAsia"/>
          <w:color w:val="000000"/>
          <w:kern w:val="0"/>
          <w:szCs w:val="21"/>
        </w:rPr>
        <w:t>当</w:t>
      </w:r>
      <w:r w:rsidRPr="00771F93">
        <w:rPr>
          <w:rFonts w:ascii="Times New Roman" w:hAnsi="Times New Roman"/>
          <w:color w:val="000000"/>
          <w:kern w:val="0"/>
          <w:szCs w:val="21"/>
        </w:rPr>
        <w:t xml:space="preserve"> </w:t>
      </w:r>
      <w:r w:rsidRPr="00771F93">
        <w:rPr>
          <w:rFonts w:ascii="Times New Roman" w:hAnsi="Times New Roman" w:cs="ＭＳ 明朝" w:hint="eastAsia"/>
          <w:color w:val="000000"/>
          <w:kern w:val="0"/>
          <w:szCs w:val="21"/>
        </w:rPr>
        <w:t>城間　幹子</w:t>
      </w:r>
      <w:r w:rsidRPr="00771F93">
        <w:rPr>
          <w:rFonts w:ascii="Times New Roman" w:hAnsi="Times New Roman"/>
          <w:color w:val="000000"/>
          <w:kern w:val="0"/>
          <w:szCs w:val="21"/>
        </w:rPr>
        <w:t xml:space="preserve"> 101,052</w:t>
      </w:r>
      <w:r w:rsidRPr="00771F93">
        <w:rPr>
          <w:rFonts w:ascii="Times New Roman" w:hAnsi="Times New Roman" w:cs="ＭＳ 明朝" w:hint="eastAsia"/>
          <w:color w:val="000000"/>
          <w:kern w:val="0"/>
          <w:szCs w:val="21"/>
        </w:rPr>
        <w:t xml:space="preserve">票　　　　</w:t>
      </w:r>
      <w:r w:rsidR="00BE6530">
        <w:rPr>
          <w:rFonts w:ascii="Times New Roman" w:hAnsi="Times New Roman" w:cs="ＭＳ 明朝" w:hint="eastAsia"/>
          <w:color w:val="000000"/>
          <w:kern w:val="0"/>
          <w:szCs w:val="21"/>
        </w:rPr>
        <w:t>63.6</w:t>
      </w:r>
      <w:r w:rsidRPr="00771F93">
        <w:rPr>
          <w:rFonts w:ascii="Times New Roman" w:hAnsi="Times New Roman" w:cs="ＭＳ 明朝" w:hint="eastAsia"/>
          <w:color w:val="000000"/>
          <w:kern w:val="0"/>
          <w:szCs w:val="21"/>
        </w:rPr>
        <w:t>％</w:t>
      </w:r>
    </w:p>
    <w:p w:rsidR="000E1009" w:rsidRDefault="000E1009" w:rsidP="00771F93">
      <w:pPr>
        <w:pBdr>
          <w:top w:val="single" w:sz="18" w:space="1" w:color="auto"/>
          <w:left w:val="single" w:sz="18" w:space="4" w:color="auto"/>
          <w:bottom w:val="single" w:sz="18" w:space="1" w:color="auto"/>
          <w:right w:val="single" w:sz="18" w:space="4" w:color="auto"/>
        </w:pBdr>
        <w:overflowPunct w:val="0"/>
        <w:textAlignment w:val="baseline"/>
        <w:rPr>
          <w:rFonts w:ascii="Times New Roman" w:hAnsi="Times New Roman" w:cs="ＭＳ 明朝"/>
          <w:color w:val="000000"/>
          <w:kern w:val="0"/>
          <w:szCs w:val="21"/>
        </w:rPr>
      </w:pPr>
      <w:r w:rsidRPr="00771F93">
        <w:rPr>
          <w:rFonts w:ascii="Times New Roman" w:hAnsi="Times New Roman"/>
          <w:color w:val="000000"/>
          <w:kern w:val="0"/>
          <w:szCs w:val="21"/>
        </w:rPr>
        <w:t xml:space="preserve">   </w:t>
      </w:r>
      <w:r w:rsidRPr="00771F93">
        <w:rPr>
          <w:rFonts w:ascii="Times New Roman" w:hAnsi="Times New Roman" w:cs="ＭＳ 明朝" w:hint="eastAsia"/>
          <w:color w:val="000000"/>
          <w:kern w:val="0"/>
          <w:szCs w:val="21"/>
        </w:rPr>
        <w:t>与世田兼稔</w:t>
      </w:r>
      <w:r w:rsidRPr="00771F93">
        <w:rPr>
          <w:rFonts w:ascii="Times New Roman" w:hAnsi="Times New Roman"/>
          <w:color w:val="000000"/>
          <w:kern w:val="0"/>
          <w:szCs w:val="21"/>
        </w:rPr>
        <w:t xml:space="preserve">  57,768</w:t>
      </w:r>
      <w:r w:rsidRPr="00771F93">
        <w:rPr>
          <w:rFonts w:ascii="Times New Roman" w:hAnsi="Times New Roman" w:cs="ＭＳ 明朝" w:hint="eastAsia"/>
          <w:color w:val="000000"/>
          <w:kern w:val="0"/>
          <w:szCs w:val="21"/>
        </w:rPr>
        <w:t>票</w:t>
      </w:r>
      <w:r w:rsidRPr="00771F93">
        <w:rPr>
          <w:rFonts w:ascii="Times New Roman" w:hAnsi="Times New Roman"/>
          <w:color w:val="000000"/>
          <w:kern w:val="0"/>
          <w:szCs w:val="21"/>
        </w:rPr>
        <w:t xml:space="preserve">        </w:t>
      </w:r>
      <w:r w:rsidR="00BE6530">
        <w:rPr>
          <w:rFonts w:ascii="Times New Roman" w:hAnsi="Times New Roman" w:cs="ＭＳ 明朝" w:hint="eastAsia"/>
          <w:color w:val="000000"/>
          <w:kern w:val="0"/>
          <w:szCs w:val="21"/>
        </w:rPr>
        <w:t>36.4</w:t>
      </w:r>
      <w:r w:rsidRPr="00771F93">
        <w:rPr>
          <w:rFonts w:ascii="Times New Roman" w:hAnsi="Times New Roman" w:cs="ＭＳ 明朝" w:hint="eastAsia"/>
          <w:color w:val="000000"/>
          <w:kern w:val="0"/>
          <w:szCs w:val="21"/>
        </w:rPr>
        <w:t>％</w:t>
      </w:r>
    </w:p>
    <w:p w:rsidR="00BE6530" w:rsidRPr="00771F93" w:rsidRDefault="00BE6530" w:rsidP="00771F93">
      <w:pPr>
        <w:pBdr>
          <w:top w:val="single" w:sz="18" w:space="1" w:color="auto"/>
          <w:left w:val="single" w:sz="18" w:space="4" w:color="auto"/>
          <w:bottom w:val="single" w:sz="18" w:space="1" w:color="auto"/>
          <w:right w:val="single" w:sz="18" w:space="4" w:color="auto"/>
        </w:pBdr>
        <w:overflowPunct w:val="0"/>
        <w:textAlignment w:val="baseline"/>
        <w:rPr>
          <w:rFonts w:ascii="ＭＳ 明朝" w:hAnsi="Times New Roman"/>
          <w:color w:val="000000"/>
          <w:spacing w:val="2"/>
          <w:kern w:val="0"/>
          <w:szCs w:val="21"/>
        </w:rPr>
      </w:pPr>
    </w:p>
    <w:p w:rsidR="000E1009" w:rsidRPr="00771F93" w:rsidRDefault="000E1009" w:rsidP="00771F93">
      <w:pPr>
        <w:overflowPunct w:val="0"/>
        <w:textAlignment w:val="baseline"/>
        <w:rPr>
          <w:rFonts w:ascii="ＭＳ 明朝" w:hAnsi="Times New Roman"/>
          <w:color w:val="000000"/>
          <w:spacing w:val="2"/>
          <w:kern w:val="0"/>
          <w:szCs w:val="21"/>
        </w:rPr>
      </w:pPr>
    </w:p>
    <w:p w:rsidR="00BE6530" w:rsidRDefault="00BE6530" w:rsidP="00771F93">
      <w:pPr>
        <w:pBdr>
          <w:top w:val="single" w:sz="18" w:space="1" w:color="auto"/>
          <w:left w:val="single" w:sz="18" w:space="4" w:color="auto"/>
          <w:bottom w:val="single" w:sz="18" w:space="1" w:color="auto"/>
          <w:right w:val="single" w:sz="18" w:space="4" w:color="auto"/>
        </w:pBdr>
        <w:overflowPunct w:val="0"/>
        <w:textAlignment w:val="baseline"/>
        <w:rPr>
          <w:rFonts w:ascii="Times New Roman" w:hAnsi="Times New Roman" w:cs="ＭＳ 明朝"/>
          <w:color w:val="000000"/>
          <w:kern w:val="0"/>
          <w:szCs w:val="21"/>
        </w:rPr>
      </w:pPr>
    </w:p>
    <w:p w:rsidR="000E1009" w:rsidRDefault="000E1009" w:rsidP="00771F93">
      <w:pPr>
        <w:pBdr>
          <w:top w:val="single" w:sz="18" w:space="1" w:color="auto"/>
          <w:left w:val="single" w:sz="18" w:space="4" w:color="auto"/>
          <w:bottom w:val="single" w:sz="18" w:space="1" w:color="auto"/>
          <w:right w:val="single" w:sz="18" w:space="4" w:color="auto"/>
        </w:pBdr>
        <w:overflowPunct w:val="0"/>
        <w:textAlignment w:val="baseline"/>
        <w:rPr>
          <w:rFonts w:ascii="Times New Roman" w:hAnsi="Times New Roman" w:cs="ＭＳ 明朝"/>
          <w:color w:val="000000"/>
          <w:kern w:val="0"/>
          <w:szCs w:val="21"/>
        </w:rPr>
      </w:pPr>
      <w:r w:rsidRPr="00771F93">
        <w:rPr>
          <w:rFonts w:ascii="Times New Roman" w:hAnsi="Times New Roman" w:cs="ＭＳ 明朝" w:hint="eastAsia"/>
          <w:color w:val="000000"/>
          <w:kern w:val="0"/>
          <w:szCs w:val="21"/>
        </w:rPr>
        <w:t>新外交イニシアティブ編（柳澤協二・屋良朝博・半田滋・マイク・モチヅキ・猿田佐代著）『虚像の抑止力：沖縄・東京・ワシントン発安全保障政策の新機軸』（旬報社、</w:t>
      </w:r>
      <w:r w:rsidRPr="00771F93">
        <w:rPr>
          <w:rFonts w:ascii="Times New Roman" w:hAnsi="Times New Roman"/>
          <w:color w:val="000000"/>
          <w:kern w:val="0"/>
          <w:szCs w:val="21"/>
        </w:rPr>
        <w:t>2014</w:t>
      </w:r>
      <w:r w:rsidRPr="00771F93">
        <w:rPr>
          <w:rFonts w:ascii="Times New Roman" w:hAnsi="Times New Roman" w:cs="ＭＳ 明朝" w:hint="eastAsia"/>
          <w:color w:val="000000"/>
          <w:kern w:val="0"/>
          <w:szCs w:val="21"/>
        </w:rPr>
        <w:t>年）</w:t>
      </w:r>
    </w:p>
    <w:p w:rsidR="00BE6530" w:rsidRPr="00771F93" w:rsidRDefault="00BE6530" w:rsidP="00771F93">
      <w:pPr>
        <w:pBdr>
          <w:top w:val="single" w:sz="18" w:space="1" w:color="auto"/>
          <w:left w:val="single" w:sz="18" w:space="4" w:color="auto"/>
          <w:bottom w:val="single" w:sz="18" w:space="1" w:color="auto"/>
          <w:right w:val="single" w:sz="18" w:space="4" w:color="auto"/>
        </w:pBdr>
        <w:overflowPunct w:val="0"/>
        <w:textAlignment w:val="baseline"/>
        <w:rPr>
          <w:rFonts w:ascii="ＭＳ 明朝" w:hAnsi="Times New Roman"/>
          <w:color w:val="000000"/>
          <w:spacing w:val="2"/>
          <w:kern w:val="0"/>
          <w:szCs w:val="21"/>
        </w:rPr>
      </w:pPr>
    </w:p>
    <w:p w:rsidR="000E1009" w:rsidRDefault="000E1009">
      <w:pPr>
        <w:widowControl/>
        <w:jc w:val="left"/>
        <w:rPr>
          <w:rFonts w:ascii="Times New Roman" w:hAnsi="Times New Roman" w:cs="ＭＳ 明朝"/>
          <w:color w:val="000000"/>
          <w:kern w:val="0"/>
          <w:szCs w:val="21"/>
        </w:rPr>
      </w:pPr>
      <w:r>
        <w:rPr>
          <w:rFonts w:ascii="Times New Roman" w:hAnsi="Times New Roman" w:cs="ＭＳ 明朝"/>
          <w:color w:val="000000"/>
          <w:kern w:val="0"/>
          <w:szCs w:val="21"/>
        </w:rPr>
        <w:br w:type="page"/>
      </w:r>
    </w:p>
    <w:p w:rsidR="000E1009" w:rsidRPr="00BE6530" w:rsidRDefault="000E1009" w:rsidP="00002B3B">
      <w:pPr>
        <w:pBdr>
          <w:top w:val="double" w:sz="12" w:space="1" w:color="FF0000"/>
          <w:left w:val="double" w:sz="12" w:space="4" w:color="FF0000"/>
          <w:bottom w:val="double" w:sz="12" w:space="1" w:color="FF0000"/>
          <w:right w:val="double" w:sz="12" w:space="4" w:color="FF0000"/>
        </w:pBdr>
        <w:rPr>
          <w:color w:val="FF0000"/>
          <w:sz w:val="24"/>
          <w:szCs w:val="24"/>
        </w:rPr>
      </w:pPr>
      <w:r w:rsidRPr="00BE6530">
        <w:rPr>
          <w:rFonts w:hint="eastAsia"/>
          <w:color w:val="FF0000"/>
          <w:sz w:val="24"/>
          <w:szCs w:val="24"/>
        </w:rPr>
        <w:lastRenderedPageBreak/>
        <w:t>誰も責任を取らないなし崩しの原発再稼働に反対</w:t>
      </w:r>
    </w:p>
    <w:p w:rsidR="000E1009" w:rsidRDefault="000E1009" w:rsidP="00002B3B"/>
    <w:p w:rsidR="000E1009" w:rsidRPr="00002B3B" w:rsidRDefault="000E1009" w:rsidP="00002B3B"/>
    <w:p w:rsidR="000E1009" w:rsidRPr="00002B3B" w:rsidRDefault="000E1009" w:rsidP="000E1009">
      <w:pPr>
        <w:ind w:firstLineChars="100" w:firstLine="210"/>
      </w:pPr>
      <w:r w:rsidRPr="00002B3B">
        <w:rPr>
          <w:rFonts w:hint="eastAsia"/>
        </w:rPr>
        <w:t>福島第一原発事故の原因究明も終わっていないのに、そして使用済み核燃料の最終処分地域も決められないのに、安倍政権は原発の再稼働に前のめりである。</w:t>
      </w:r>
      <w:r w:rsidRPr="00002B3B">
        <w:rPr>
          <w:rFonts w:hint="eastAsia"/>
        </w:rPr>
        <w:t>30</w:t>
      </w:r>
      <w:r w:rsidRPr="00002B3B">
        <w:rPr>
          <w:rFonts w:hint="eastAsia"/>
        </w:rPr>
        <w:t>キロ圏内の自治体に全く発言の場を与えぬまま、川内原発を再稼働させようとしており、新しいエネルギー基本計画は、ベースロード電源としての原子力の活用や、核燃料サイクルの着実な推進をうたっている。しかし</w:t>
      </w:r>
      <w:r w:rsidRPr="00002B3B">
        <w:rPr>
          <w:rFonts w:hint="eastAsia"/>
        </w:rPr>
        <w:t>1995</w:t>
      </w:r>
      <w:r w:rsidRPr="00002B3B">
        <w:rPr>
          <w:rFonts w:hint="eastAsia"/>
        </w:rPr>
        <w:t>年の事故からほとんど動いていない高速増殖炉「もんじゅ」は多額の維持費（一日あたり</w:t>
      </w:r>
      <w:r w:rsidRPr="00002B3B">
        <w:rPr>
          <w:rFonts w:hint="eastAsia"/>
        </w:rPr>
        <w:t>5400</w:t>
      </w:r>
      <w:r w:rsidRPr="00002B3B">
        <w:rPr>
          <w:rFonts w:hint="eastAsia"/>
        </w:rPr>
        <w:t>万円）がかかっている。</w:t>
      </w:r>
    </w:p>
    <w:p w:rsidR="000E1009" w:rsidRPr="00002B3B" w:rsidRDefault="000E1009" w:rsidP="000E1009">
      <w:pPr>
        <w:ind w:firstLineChars="100" w:firstLine="210"/>
      </w:pPr>
      <w:r w:rsidRPr="00002B3B">
        <w:rPr>
          <w:rFonts w:hAnsi="ＭＳ 明朝"/>
        </w:rPr>
        <w:t>「</w:t>
      </w:r>
      <w:r w:rsidRPr="00002B3B">
        <w:rPr>
          <w:rFonts w:hAnsi="ＭＳ 明朝" w:hint="eastAsia"/>
        </w:rPr>
        <w:t>安全性については、</w:t>
      </w:r>
      <w:r w:rsidRPr="00002B3B">
        <w:rPr>
          <w:rFonts w:hAnsi="ＭＳ 明朝"/>
        </w:rPr>
        <w:t>原子力規制委員会の専門的判断に委ねます」というのが、</w:t>
      </w:r>
      <w:r w:rsidRPr="00002B3B">
        <w:rPr>
          <w:rFonts w:hint="eastAsia"/>
        </w:rPr>
        <w:t>2012</w:t>
      </w:r>
      <w:r w:rsidRPr="00002B3B">
        <w:rPr>
          <w:rFonts w:hAnsi="ＭＳ 明朝"/>
        </w:rPr>
        <w:t>年衆院選、</w:t>
      </w:r>
      <w:r w:rsidRPr="00002B3B">
        <w:rPr>
          <w:rFonts w:hint="eastAsia"/>
        </w:rPr>
        <w:t>2013</w:t>
      </w:r>
      <w:r w:rsidRPr="00002B3B">
        <w:rPr>
          <w:rFonts w:hAnsi="ＭＳ 明朝"/>
        </w:rPr>
        <w:t>年参院選での自民党の</w:t>
      </w:r>
      <w:r w:rsidRPr="00002B3B">
        <w:rPr>
          <w:rFonts w:hAnsi="ＭＳ 明朝" w:hint="eastAsia"/>
        </w:rPr>
        <w:t>公約で、</w:t>
      </w:r>
      <w:r w:rsidRPr="00002B3B">
        <w:rPr>
          <w:rFonts w:hint="eastAsia"/>
        </w:rPr>
        <w:t>今後も規制委の基準を満たした原発を次々に再稼働させる意向のようだが、</w:t>
      </w:r>
      <w:r w:rsidRPr="00002B3B">
        <w:rPr>
          <w:rFonts w:hAnsi="ＭＳ 明朝" w:hint="eastAsia"/>
        </w:rPr>
        <w:t>規制委の田中俊一委員長は、基準を満たしたからといって安全とはいえないと述べている。</w:t>
      </w:r>
      <w:r w:rsidRPr="00002B3B">
        <w:rPr>
          <w:rFonts w:hint="eastAsia"/>
        </w:rPr>
        <w:t>では、安全性には誰が責任をもつのか。</w:t>
      </w:r>
    </w:p>
    <w:p w:rsidR="000E1009" w:rsidRPr="00002B3B" w:rsidRDefault="000E1009" w:rsidP="000E1009">
      <w:pPr>
        <w:ind w:firstLineChars="100" w:firstLine="210"/>
      </w:pPr>
      <w:r w:rsidRPr="00002B3B">
        <w:rPr>
          <w:rFonts w:hint="eastAsia"/>
        </w:rPr>
        <w:t>世論では再稼働に反対の声が大きく、</w:t>
      </w:r>
      <w:r w:rsidRPr="00002B3B">
        <w:rPr>
          <w:rFonts w:hint="eastAsia"/>
        </w:rPr>
        <w:t>640</w:t>
      </w:r>
      <w:r w:rsidRPr="00002B3B">
        <w:rPr>
          <w:rFonts w:hint="eastAsia"/>
        </w:rPr>
        <w:t>の地方議会が原発再稼動反対や脱原発を求める意見書を可決しているが（</w:t>
      </w:r>
      <w:r w:rsidRPr="00002B3B">
        <w:rPr>
          <w:rFonts w:hint="eastAsia"/>
        </w:rPr>
        <w:t>2014</w:t>
      </w:r>
      <w:r w:rsidRPr="00002B3B">
        <w:rPr>
          <w:rFonts w:hint="eastAsia"/>
        </w:rPr>
        <w:t>年</w:t>
      </w:r>
      <w:r w:rsidRPr="00002B3B">
        <w:rPr>
          <w:rFonts w:hint="eastAsia"/>
        </w:rPr>
        <w:t>10</w:t>
      </w:r>
      <w:r w:rsidRPr="00002B3B">
        <w:rPr>
          <w:rFonts w:hint="eastAsia"/>
        </w:rPr>
        <w:t>月現在）、安倍政権はそれらの声を無視している。</w:t>
      </w:r>
    </w:p>
    <w:p w:rsidR="000E1009" w:rsidRPr="00002B3B" w:rsidRDefault="000E1009" w:rsidP="000E1009">
      <w:pPr>
        <w:ind w:firstLineChars="100" w:firstLine="210"/>
      </w:pPr>
      <w:r w:rsidRPr="00002B3B">
        <w:rPr>
          <w:rFonts w:hint="eastAsia"/>
        </w:rPr>
        <w:t>原発停止と火力発電用の燃料費増大を理由に電気料金値上げ申請が相次いでいるが、燃料費増大にはアベノミクスによる円安の影響が大きい。</w:t>
      </w:r>
      <w:r w:rsidRPr="00002B3B">
        <w:rPr>
          <w:rFonts w:hint="eastAsia"/>
        </w:rPr>
        <w:t>2013</w:t>
      </w:r>
      <w:r w:rsidRPr="00002B3B">
        <w:rPr>
          <w:rFonts w:hint="eastAsia"/>
        </w:rPr>
        <w:t>年</w:t>
      </w:r>
      <w:r w:rsidRPr="00002B3B">
        <w:rPr>
          <w:rFonts w:hint="eastAsia"/>
        </w:rPr>
        <w:t>9</w:t>
      </w:r>
      <w:r w:rsidRPr="00002B3B">
        <w:rPr>
          <w:rFonts w:hint="eastAsia"/>
        </w:rPr>
        <w:t>月以来、原発は</w:t>
      </w:r>
      <w:r w:rsidRPr="00002B3B">
        <w:rPr>
          <w:rFonts w:hint="eastAsia"/>
        </w:rPr>
        <w:t>1</w:t>
      </w:r>
      <w:r w:rsidRPr="00002B3B">
        <w:rPr>
          <w:rFonts w:hint="eastAsia"/>
        </w:rPr>
        <w:t>基も動いていないが、その間も電気</w:t>
      </w:r>
      <w:r w:rsidR="00547E84">
        <w:rPr>
          <w:rFonts w:hint="eastAsia"/>
        </w:rPr>
        <w:t>料金</w:t>
      </w:r>
      <w:r w:rsidRPr="00002B3B">
        <w:rPr>
          <w:rFonts w:hint="eastAsia"/>
        </w:rPr>
        <w:t>は上がりつづけている。加えて安倍政権下で経産省は、電力市場が完全自由化された場合、他のエネルギー源に比べ特別な費用がかかる原子力発電が不利にならないよう、そうした費用を全て電気料金に上乗せできる制度を検討している。しかも安倍政権は「原発は安い」という公式見解を変えていない。安倍政権が続けば、原発救済策によって国民負担が増え、電力市場自由化も骨抜きにされる。</w:t>
      </w:r>
    </w:p>
    <w:p w:rsidR="000E1009" w:rsidRDefault="000E1009" w:rsidP="000E1009">
      <w:pPr>
        <w:ind w:firstLineChars="100" w:firstLine="210"/>
      </w:pPr>
      <w:r w:rsidRPr="00002B3B">
        <w:rPr>
          <w:rFonts w:hint="eastAsia"/>
        </w:rPr>
        <w:t>福島の教訓を忘れずに、原発に依存しない社会をつくるために、自民党長期政権のもとで形成された無責任体質の「原子力ムラ」を復権させてはならない。</w:t>
      </w:r>
    </w:p>
    <w:p w:rsidR="000E1009" w:rsidRDefault="000E1009" w:rsidP="000E1009">
      <w:pPr>
        <w:ind w:firstLineChars="100" w:firstLine="210"/>
      </w:pPr>
    </w:p>
    <w:p w:rsidR="000E1009" w:rsidRDefault="000E1009" w:rsidP="000E1009">
      <w:pPr>
        <w:ind w:firstLineChars="100" w:firstLine="210"/>
      </w:pPr>
    </w:p>
    <w:p w:rsidR="000E1009" w:rsidRPr="00002B3B" w:rsidRDefault="000E1009" w:rsidP="000E1009">
      <w:pPr>
        <w:ind w:firstLineChars="100" w:firstLine="210"/>
      </w:pPr>
    </w:p>
    <w:p w:rsidR="000E1009" w:rsidRPr="00002B3B" w:rsidRDefault="000E1009" w:rsidP="00002B3B"/>
    <w:p w:rsidR="000E1009" w:rsidRPr="00002B3B" w:rsidRDefault="000E1009" w:rsidP="00002B3B">
      <w:r w:rsidRPr="00002B3B">
        <w:rPr>
          <w:noProof/>
        </w:rPr>
        <w:drawing>
          <wp:inline distT="0" distB="0" distL="0" distR="0" wp14:anchorId="4FC50A3C" wp14:editId="55268446">
            <wp:extent cx="5391150" cy="2838450"/>
            <wp:effectExtent l="0" t="0" r="0" b="0"/>
            <wp:docPr id="2" name="図 2" descr="X:\研究会関係\民主党再建プロジェクト\緊急提言\原稿\img_ecebd2c5b38ff8b480182cc2272852d28124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X:\研究会関係\民主党再建プロジェクト\緊急提言\原稿\img_ecebd2c5b38ff8b480182cc2272852d281243.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391150" cy="2838450"/>
                    </a:xfrm>
                    <a:prstGeom prst="rect">
                      <a:avLst/>
                    </a:prstGeom>
                    <a:noFill/>
                    <a:ln>
                      <a:noFill/>
                    </a:ln>
                  </pic:spPr>
                </pic:pic>
              </a:graphicData>
            </a:graphic>
          </wp:inline>
        </w:drawing>
      </w:r>
    </w:p>
    <w:p w:rsidR="000E1009" w:rsidRPr="00771F93" w:rsidRDefault="00730475">
      <w:pPr>
        <w:widowControl/>
        <w:jc w:val="left"/>
        <w:rPr>
          <w:rFonts w:ascii="Times New Roman" w:hAnsi="Times New Roman" w:cs="ＭＳ 明朝"/>
          <w:color w:val="000000"/>
          <w:kern w:val="0"/>
          <w:szCs w:val="21"/>
        </w:rPr>
      </w:pPr>
      <w:r>
        <w:rPr>
          <w:rFonts w:ascii="Times New Roman" w:hAnsi="Times New Roman" w:cs="ＭＳ 明朝" w:hint="eastAsia"/>
          <w:color w:val="000000"/>
          <w:kern w:val="0"/>
          <w:szCs w:val="21"/>
        </w:rPr>
        <w:t>出典：</w:t>
      </w:r>
      <w:bookmarkStart w:id="0" w:name="_GoBack"/>
      <w:bookmarkEnd w:id="0"/>
      <w:r w:rsidRPr="00730475">
        <w:rPr>
          <w:rFonts w:ascii="Times New Roman" w:hAnsi="Times New Roman" w:cs="ＭＳ 明朝" w:hint="eastAsia"/>
          <w:color w:val="000000"/>
          <w:kern w:val="0"/>
          <w:szCs w:val="21"/>
        </w:rPr>
        <w:t>「東洋経済</w:t>
      </w:r>
      <w:r w:rsidRPr="00730475">
        <w:rPr>
          <w:rFonts w:ascii="Times New Roman" w:hAnsi="Times New Roman" w:cs="ＭＳ 明朝" w:hint="eastAsia"/>
          <w:color w:val="000000"/>
          <w:kern w:val="0"/>
          <w:szCs w:val="21"/>
        </w:rPr>
        <w:t>ONLINE</w:t>
      </w:r>
      <w:r w:rsidRPr="00730475">
        <w:rPr>
          <w:rFonts w:ascii="Times New Roman" w:hAnsi="Times New Roman" w:cs="ＭＳ 明朝" w:hint="eastAsia"/>
          <w:color w:val="000000"/>
          <w:kern w:val="0"/>
          <w:szCs w:val="21"/>
        </w:rPr>
        <w:t>」</w:t>
      </w:r>
      <w:r w:rsidRPr="00730475">
        <w:rPr>
          <w:rFonts w:ascii="Times New Roman" w:hAnsi="Times New Roman" w:cs="ＭＳ 明朝" w:hint="eastAsia"/>
          <w:color w:val="000000"/>
          <w:kern w:val="0"/>
          <w:szCs w:val="21"/>
        </w:rPr>
        <w:t>2014</w:t>
      </w:r>
      <w:r w:rsidRPr="00730475">
        <w:rPr>
          <w:rFonts w:ascii="Times New Roman" w:hAnsi="Times New Roman" w:cs="ＭＳ 明朝" w:hint="eastAsia"/>
          <w:color w:val="000000"/>
          <w:kern w:val="0"/>
          <w:szCs w:val="21"/>
        </w:rPr>
        <w:t>年</w:t>
      </w:r>
      <w:r w:rsidRPr="00730475">
        <w:rPr>
          <w:rFonts w:ascii="Times New Roman" w:hAnsi="Times New Roman" w:cs="ＭＳ 明朝" w:hint="eastAsia"/>
          <w:color w:val="000000"/>
          <w:kern w:val="0"/>
          <w:szCs w:val="21"/>
        </w:rPr>
        <w:t>9</w:t>
      </w:r>
      <w:r w:rsidRPr="00730475">
        <w:rPr>
          <w:rFonts w:ascii="Times New Roman" w:hAnsi="Times New Roman" w:cs="ＭＳ 明朝" w:hint="eastAsia"/>
          <w:color w:val="000000"/>
          <w:kern w:val="0"/>
          <w:szCs w:val="21"/>
        </w:rPr>
        <w:t>月</w:t>
      </w:r>
      <w:r w:rsidRPr="00730475">
        <w:rPr>
          <w:rFonts w:ascii="Times New Roman" w:hAnsi="Times New Roman" w:cs="ＭＳ 明朝" w:hint="eastAsia"/>
          <w:color w:val="000000"/>
          <w:kern w:val="0"/>
          <w:szCs w:val="21"/>
        </w:rPr>
        <w:t>22</w:t>
      </w:r>
      <w:r w:rsidRPr="00730475">
        <w:rPr>
          <w:rFonts w:ascii="Times New Roman" w:hAnsi="Times New Roman" w:cs="ＭＳ 明朝" w:hint="eastAsia"/>
          <w:color w:val="000000"/>
          <w:kern w:val="0"/>
          <w:szCs w:val="21"/>
        </w:rPr>
        <w:t>日号</w:t>
      </w:r>
    </w:p>
    <w:p w:rsidR="000E1009" w:rsidRDefault="000E1009">
      <w:pPr>
        <w:widowControl/>
        <w:jc w:val="left"/>
        <w:rPr>
          <w:b/>
          <w:sz w:val="36"/>
          <w:szCs w:val="36"/>
          <w14:textOutline w14:w="5270" w14:cap="flat" w14:cmpd="sng" w14:algn="ctr">
            <w14:solidFill>
              <w14:srgbClr w14:val="7D7D7D">
                <w14:tint w14:val="100000"/>
                <w14:shade w14:val="100000"/>
                <w14:satMod w14:val="110000"/>
              </w14:srgbClr>
            </w14:solidFill>
            <w14:prstDash w14:val="solid"/>
            <w14:round/>
          </w14:textOutline>
          <w14:textFill>
            <w14:gradFill>
              <w14:gsLst>
                <w14:gs w14:pos="0">
                  <w14:srgbClr w14:val="FFFFFF">
                    <w14:tint w14:val="40000"/>
                    <w14:satMod w14:val="250000"/>
                  </w14:srgbClr>
                </w14:gs>
                <w14:gs w14:pos="9000">
                  <w14:srgbClr w14:val="FFFFFF">
                    <w14:tint w14:val="52000"/>
                    <w14:satMod w14:val="300000"/>
                  </w14:srgbClr>
                </w14:gs>
                <w14:gs w14:pos="50000">
                  <w14:srgbClr w14:val="FFFFFF">
                    <w14:shade w14:val="20000"/>
                    <w14:satMod w14:val="300000"/>
                  </w14:srgbClr>
                </w14:gs>
                <w14:gs w14:pos="79000">
                  <w14:srgbClr w14:val="FFFFFF">
                    <w14:tint w14:val="52000"/>
                    <w14:satMod w14:val="300000"/>
                  </w14:srgbClr>
                </w14:gs>
                <w14:gs w14:pos="100000">
                  <w14:srgbClr w14:val="FFFFFF">
                    <w14:tint w14:val="40000"/>
                    <w14:satMod w14:val="250000"/>
                  </w14:srgbClr>
                </w14:gs>
              </w14:gsLst>
              <w14:lin w14:ang="5400000" w14:scaled="0"/>
            </w14:gradFill>
          </w14:textFill>
        </w:rPr>
      </w:pPr>
      <w:r>
        <w:rPr>
          <w:b/>
          <w:sz w:val="36"/>
          <w:szCs w:val="36"/>
          <w14:textOutline w14:w="5270" w14:cap="flat" w14:cmpd="sng" w14:algn="ctr">
            <w14:solidFill>
              <w14:srgbClr w14:val="7D7D7D">
                <w14:tint w14:val="100000"/>
                <w14:shade w14:val="100000"/>
                <w14:satMod w14:val="110000"/>
              </w14:srgbClr>
            </w14:solidFill>
            <w14:prstDash w14:val="solid"/>
            <w14:round/>
          </w14:textOutline>
          <w14:textFill>
            <w14:gradFill>
              <w14:gsLst>
                <w14:gs w14:pos="0">
                  <w14:srgbClr w14:val="FFFFFF">
                    <w14:tint w14:val="40000"/>
                    <w14:satMod w14:val="250000"/>
                  </w14:srgbClr>
                </w14:gs>
                <w14:gs w14:pos="9000">
                  <w14:srgbClr w14:val="FFFFFF">
                    <w14:tint w14:val="52000"/>
                    <w14:satMod w14:val="300000"/>
                  </w14:srgbClr>
                </w14:gs>
                <w14:gs w14:pos="50000">
                  <w14:srgbClr w14:val="FFFFFF">
                    <w14:shade w14:val="20000"/>
                    <w14:satMod w14:val="300000"/>
                  </w14:srgbClr>
                </w14:gs>
                <w14:gs w14:pos="79000">
                  <w14:srgbClr w14:val="FFFFFF">
                    <w14:tint w14:val="52000"/>
                    <w14:satMod w14:val="300000"/>
                  </w14:srgbClr>
                </w14:gs>
                <w14:gs w14:pos="100000">
                  <w14:srgbClr w14:val="FFFFFF">
                    <w14:tint w14:val="40000"/>
                    <w14:satMod w14:val="250000"/>
                  </w14:srgbClr>
                </w14:gs>
              </w14:gsLst>
              <w14:lin w14:ang="5400000" w14:scaled="0"/>
            </w14:gradFill>
          </w14:textFill>
        </w:rPr>
        <w:br w:type="page"/>
      </w:r>
    </w:p>
    <w:p w:rsidR="000E1009" w:rsidRPr="00BE6530" w:rsidRDefault="000E1009" w:rsidP="00F83465">
      <w:pPr>
        <w:pBdr>
          <w:top w:val="double" w:sz="12" w:space="1" w:color="FF0000"/>
          <w:left w:val="double" w:sz="12" w:space="4" w:color="FF0000"/>
          <w:bottom w:val="double" w:sz="12" w:space="1" w:color="FF0000"/>
          <w:right w:val="double" w:sz="12" w:space="4" w:color="FF0000"/>
        </w:pBdr>
        <w:rPr>
          <w:color w:val="FF0000"/>
          <w:sz w:val="24"/>
          <w:szCs w:val="24"/>
        </w:rPr>
      </w:pPr>
      <w:r w:rsidRPr="00BE6530">
        <w:rPr>
          <w:rFonts w:hint="eastAsia"/>
          <w:color w:val="FF0000"/>
          <w:sz w:val="24"/>
          <w:szCs w:val="24"/>
        </w:rPr>
        <w:lastRenderedPageBreak/>
        <w:t>この解散は、アベノミクスの大失敗をごまかす「失敗ごまかし解散」だ</w:t>
      </w:r>
    </w:p>
    <w:p w:rsidR="000E1009" w:rsidRDefault="000E1009" w:rsidP="00E9424C">
      <w:pPr>
        <w:ind w:firstLineChars="100" w:firstLine="210"/>
      </w:pPr>
    </w:p>
    <w:p w:rsidR="000E1009" w:rsidRDefault="000E1009" w:rsidP="00E9424C">
      <w:pPr>
        <w:ind w:firstLineChars="100" w:firstLine="210"/>
      </w:pPr>
      <w:r>
        <w:rPr>
          <w:rFonts w:hint="eastAsia"/>
        </w:rPr>
        <w:t>アベノミクスの「成果」として、</w:t>
      </w:r>
      <w:r w:rsidRPr="00E9424C">
        <w:rPr>
          <w:rFonts w:hint="eastAsia"/>
        </w:rPr>
        <w:t>経済成長、デフレ脱却、雇用の改善、賃金上昇</w:t>
      </w:r>
      <w:r>
        <w:rPr>
          <w:rFonts w:hint="eastAsia"/>
        </w:rPr>
        <w:t>が誇示されている。これは真っ赤なウソだということが次々に判明している。</w:t>
      </w:r>
    </w:p>
    <w:p w:rsidR="000E1009" w:rsidRDefault="000E1009" w:rsidP="00E9424C">
      <w:pPr>
        <w:ind w:firstLineChars="100" w:firstLine="210"/>
      </w:pPr>
      <w:r>
        <w:rPr>
          <w:rFonts w:hint="eastAsia"/>
        </w:rPr>
        <w:t>GDP</w:t>
      </w:r>
      <w:r>
        <w:rPr>
          <w:rFonts w:hint="eastAsia"/>
        </w:rPr>
        <w:t>（国内総生産）の成長率は、今年</w:t>
      </w:r>
      <w:r>
        <w:rPr>
          <w:rFonts w:hint="eastAsia"/>
        </w:rPr>
        <w:t>4</w:t>
      </w:r>
      <w:r>
        <w:rPr>
          <w:rFonts w:hint="eastAsia"/>
        </w:rPr>
        <w:t>－</w:t>
      </w:r>
      <w:r>
        <w:rPr>
          <w:rFonts w:hint="eastAsia"/>
        </w:rPr>
        <w:t>6</w:t>
      </w:r>
      <w:r>
        <w:rPr>
          <w:rFonts w:hint="eastAsia"/>
        </w:rPr>
        <w:t>月期に年率</w:t>
      </w:r>
      <w:r w:rsidR="00BE6530">
        <w:rPr>
          <w:rFonts w:hint="eastAsia"/>
        </w:rPr>
        <w:t>マイナス</w:t>
      </w:r>
      <w:r>
        <w:rPr>
          <w:rFonts w:hint="eastAsia"/>
        </w:rPr>
        <w:t>7.1%</w:t>
      </w:r>
      <w:r>
        <w:rPr>
          <w:rFonts w:hint="eastAsia"/>
        </w:rPr>
        <w:t>と大きく落ち込んだ。東日本大震災に匹敵する低下である。</w:t>
      </w:r>
      <w:r>
        <w:rPr>
          <w:rFonts w:hint="eastAsia"/>
        </w:rPr>
        <w:t>7</w:t>
      </w:r>
      <w:r>
        <w:rPr>
          <w:rFonts w:hint="eastAsia"/>
        </w:rPr>
        <w:t>－</w:t>
      </w:r>
      <w:r>
        <w:rPr>
          <w:rFonts w:hint="eastAsia"/>
        </w:rPr>
        <w:t>9</w:t>
      </w:r>
      <w:r>
        <w:rPr>
          <w:rFonts w:hint="eastAsia"/>
        </w:rPr>
        <w:t>月期については、政府も民間エコノミストもプラスを予測したが、フタを開けてみれば</w:t>
      </w:r>
      <w:r w:rsidR="00BE6530">
        <w:rPr>
          <w:rFonts w:hint="eastAsia"/>
        </w:rPr>
        <w:t>マイナス</w:t>
      </w:r>
      <w:r>
        <w:rPr>
          <w:rFonts w:hint="eastAsia"/>
        </w:rPr>
        <w:t>1.6%</w:t>
      </w:r>
      <w:r>
        <w:rPr>
          <w:rFonts w:hint="eastAsia"/>
        </w:rPr>
        <w:t>だった。</w:t>
      </w:r>
    </w:p>
    <w:p w:rsidR="000E1009" w:rsidRPr="00E9424C" w:rsidRDefault="000E1009" w:rsidP="00E9424C">
      <w:pPr>
        <w:ind w:firstLineChars="100" w:firstLine="210"/>
      </w:pPr>
      <w:r>
        <w:rPr>
          <w:rFonts w:hint="eastAsia"/>
        </w:rPr>
        <w:t>そもそも安倍政権のもとでの経済成長は、スタートダッシュしたように見えたが、すぐに失速していた。今年</w:t>
      </w:r>
      <w:r w:rsidR="00BE6530">
        <w:rPr>
          <w:rFonts w:hint="eastAsia"/>
        </w:rPr>
        <w:t>1</w:t>
      </w:r>
      <w:r w:rsidR="00BE6530">
        <w:rPr>
          <w:rFonts w:hint="eastAsia"/>
        </w:rPr>
        <w:t>―</w:t>
      </w:r>
      <w:r w:rsidR="00BE6530">
        <w:rPr>
          <w:rFonts w:hint="eastAsia"/>
        </w:rPr>
        <w:t>3</w:t>
      </w:r>
      <w:r>
        <w:rPr>
          <w:rFonts w:hint="eastAsia"/>
        </w:rPr>
        <w:t>月期には、消費税増税前の駆け込み需要による瞬間風速的な成長が見られたものの、</w:t>
      </w:r>
      <w:r>
        <w:rPr>
          <w:rFonts w:hint="eastAsia"/>
        </w:rPr>
        <w:t>4</w:t>
      </w:r>
      <w:r>
        <w:rPr>
          <w:rFonts w:hint="eastAsia"/>
        </w:rPr>
        <w:t>月以来の落ち込みは、駆け込み需要の反動ではとうてい済まされない。安倍政権は景気引き下げ内閣だといわなければならない。</w:t>
      </w:r>
    </w:p>
    <w:p w:rsidR="000E1009" w:rsidRDefault="000E1009">
      <w:r>
        <w:rPr>
          <w:rFonts w:hint="eastAsia"/>
        </w:rPr>
        <w:t xml:space="preserve">　デフレ脱却は、需要増ではなく、円安誘導による輸入品価格の上昇によるものだ。ガソリンや食料品の値上がりが、家計を痛めている。賃金は上昇したどころではなく、</w:t>
      </w:r>
      <w:r>
        <w:rPr>
          <w:rFonts w:hint="eastAsia"/>
        </w:rPr>
        <w:t>2013</w:t>
      </w:r>
      <w:r>
        <w:rPr>
          <w:rFonts w:hint="eastAsia"/>
        </w:rPr>
        <w:t>年</w:t>
      </w:r>
      <w:r>
        <w:rPr>
          <w:rFonts w:hint="eastAsia"/>
        </w:rPr>
        <w:t>7</w:t>
      </w:r>
      <w:r>
        <w:rPr>
          <w:rFonts w:hint="eastAsia"/>
        </w:rPr>
        <w:t>月から</w:t>
      </w:r>
      <w:r>
        <w:rPr>
          <w:rFonts w:hint="eastAsia"/>
        </w:rPr>
        <w:t>15</w:t>
      </w:r>
      <w:r>
        <w:rPr>
          <w:rFonts w:hint="eastAsia"/>
        </w:rPr>
        <w:t>か月連続して、実質の対前年同月比で低下した。安倍政権は賃下げ内閣でもある。</w:t>
      </w:r>
    </w:p>
    <w:p w:rsidR="000E1009" w:rsidRDefault="000E1009"/>
    <w:p w:rsidR="000E1009" w:rsidRDefault="000E1009"/>
    <w:p w:rsidR="000E1009" w:rsidRPr="00E9424C" w:rsidRDefault="000E1009"/>
    <w:p w:rsidR="000E1009" w:rsidRDefault="000E1009" w:rsidP="00EE0CE9">
      <w:pPr>
        <w:jc w:val="center"/>
      </w:pPr>
      <w:r w:rsidRPr="00C308D9">
        <w:object w:dxaOrig="8641" w:dyaOrig="648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31.5pt;height:200.25pt" o:ole="">
            <v:imagedata r:id="rId9" o:title=""/>
          </v:shape>
          <o:OLEObject Type="Embed" ProgID="Acrobat.Document.11" ShapeID="_x0000_i1025" DrawAspect="Content" ObjectID="_1479281190" r:id="rId10"/>
        </w:object>
      </w:r>
    </w:p>
    <w:p w:rsidR="000E1009" w:rsidRDefault="000E1009" w:rsidP="005A0BD8">
      <w:pPr>
        <w:jc w:val="center"/>
      </w:pPr>
      <w:r w:rsidRPr="00C308D9">
        <w:object w:dxaOrig="8641" w:dyaOrig="6481">
          <v:shape id="_x0000_i1026" type="#_x0000_t75" style="width:295.5pt;height:179.25pt" o:ole="">
            <v:imagedata r:id="rId11" o:title=""/>
          </v:shape>
          <o:OLEObject Type="Embed" ProgID="Acrobat.Document.11" ShapeID="_x0000_i1026" DrawAspect="Content" ObjectID="_1479281191" r:id="rId12"/>
        </w:object>
      </w:r>
    </w:p>
    <w:p w:rsidR="000E1009" w:rsidRDefault="000E1009">
      <w:pPr>
        <w:widowControl/>
        <w:jc w:val="left"/>
      </w:pPr>
      <w:r>
        <w:br w:type="page"/>
      </w:r>
    </w:p>
    <w:p w:rsidR="000E1009" w:rsidRPr="00BE6530" w:rsidRDefault="000E1009" w:rsidP="008370C2">
      <w:pPr>
        <w:pBdr>
          <w:top w:val="double" w:sz="12" w:space="1" w:color="FF0000"/>
          <w:left w:val="double" w:sz="12" w:space="4" w:color="FF0000"/>
          <w:bottom w:val="double" w:sz="12" w:space="1" w:color="FF0000"/>
          <w:right w:val="double" w:sz="12" w:space="4" w:color="FF0000"/>
        </w:pBdr>
        <w:rPr>
          <w:color w:val="FF0000"/>
          <w:sz w:val="24"/>
          <w:szCs w:val="24"/>
        </w:rPr>
      </w:pPr>
      <w:r w:rsidRPr="00BE6530">
        <w:rPr>
          <w:rFonts w:hint="eastAsia"/>
          <w:color w:val="FF0000"/>
          <w:sz w:val="24"/>
          <w:szCs w:val="24"/>
        </w:rPr>
        <w:lastRenderedPageBreak/>
        <w:t>雇用改善も大ウソ</w:t>
      </w:r>
    </w:p>
    <w:p w:rsidR="000E1009" w:rsidRPr="008370C2" w:rsidRDefault="000E1009" w:rsidP="008370C2">
      <w:pPr>
        <w:rPr>
          <w:b/>
          <w:color w:val="FF0000"/>
        </w:rPr>
      </w:pPr>
    </w:p>
    <w:p w:rsidR="000E1009" w:rsidRPr="008370C2" w:rsidRDefault="000E1009" w:rsidP="008370C2">
      <w:r w:rsidRPr="008370C2">
        <w:rPr>
          <w:rFonts w:hint="eastAsia"/>
        </w:rPr>
        <w:t xml:space="preserve">　安倍政権が雇用状況を改善したというのも、大ウソだ。政権は、有効求人倍率の上昇や完全失業率の低下を根拠にしているが、問題は求人や雇用の中身である。若干の企業で賃金が引き上げられたとしても、円安誘導・インフレ促進による物価上昇に全く追いついていない。実質賃金は</w:t>
      </w:r>
      <w:r w:rsidRPr="008370C2">
        <w:rPr>
          <w:rFonts w:hint="eastAsia"/>
        </w:rPr>
        <w:t>15</w:t>
      </w:r>
      <w:r w:rsidRPr="008370C2">
        <w:rPr>
          <w:rFonts w:hint="eastAsia"/>
        </w:rPr>
        <w:t>か月連続して、対前年同月比でマイナスを続けている。</w:t>
      </w:r>
    </w:p>
    <w:p w:rsidR="000E1009" w:rsidRDefault="000E1009" w:rsidP="008370C2">
      <w:r w:rsidRPr="008370C2">
        <w:rPr>
          <w:rFonts w:hint="eastAsia"/>
        </w:rPr>
        <w:t xml:space="preserve">　これは、安倍政権になって非正規労働者の割合が急上昇したことの結果でもある。雇用者に占める非正規の比率を長期的に見ると、男女ともに非正規化を加速したのは、小泉政権と第２次安倍政権であることが明らかだ。女性の非正規比率は一貫して急上昇してきたが、</w:t>
      </w:r>
      <w:r w:rsidRPr="008370C2">
        <w:rPr>
          <w:rFonts w:hint="eastAsia"/>
        </w:rPr>
        <w:t>2000</w:t>
      </w:r>
      <w:r w:rsidRPr="008370C2">
        <w:rPr>
          <w:rFonts w:hint="eastAsia"/>
        </w:rPr>
        <w:t>年代後半は男女ともやや落ち着いていた。それが第２次安倍政権のもとでジャンプしている。年齢別に見ると、小泉政権では</w:t>
      </w:r>
      <w:r w:rsidRPr="008370C2">
        <w:rPr>
          <w:rFonts w:hint="eastAsia"/>
        </w:rPr>
        <w:t>15</w:t>
      </w:r>
      <w:r w:rsidRPr="008370C2">
        <w:rPr>
          <w:rFonts w:hint="eastAsia"/>
        </w:rPr>
        <w:t>－</w:t>
      </w:r>
      <w:r w:rsidRPr="008370C2">
        <w:rPr>
          <w:rFonts w:hint="eastAsia"/>
        </w:rPr>
        <w:t>24</w:t>
      </w:r>
      <w:r w:rsidRPr="008370C2">
        <w:rPr>
          <w:rFonts w:hint="eastAsia"/>
        </w:rPr>
        <w:t>歳の女性の非正規比率が</w:t>
      </w:r>
      <w:r w:rsidRPr="008370C2">
        <w:rPr>
          <w:rFonts w:hint="eastAsia"/>
        </w:rPr>
        <w:t>10%</w:t>
      </w:r>
      <w:r w:rsidRPr="008370C2">
        <w:rPr>
          <w:rFonts w:hint="eastAsia"/>
        </w:rPr>
        <w:t>ポイント上昇して、</w:t>
      </w:r>
      <w:r w:rsidRPr="008370C2">
        <w:rPr>
          <w:rFonts w:hint="eastAsia"/>
        </w:rPr>
        <w:t>50</w:t>
      </w:r>
      <w:r w:rsidRPr="008370C2">
        <w:rPr>
          <w:rFonts w:hint="eastAsia"/>
        </w:rPr>
        <w:t>％を超えた。また</w:t>
      </w:r>
      <w:r w:rsidRPr="008370C2">
        <w:rPr>
          <w:rFonts w:hint="eastAsia"/>
        </w:rPr>
        <w:t>25</w:t>
      </w:r>
      <w:r w:rsidRPr="008370C2">
        <w:rPr>
          <w:rFonts w:hint="eastAsia"/>
        </w:rPr>
        <w:t>－</w:t>
      </w:r>
      <w:r w:rsidRPr="008370C2">
        <w:rPr>
          <w:rFonts w:hint="eastAsia"/>
        </w:rPr>
        <w:t>34</w:t>
      </w:r>
      <w:r w:rsidRPr="008370C2">
        <w:rPr>
          <w:rFonts w:hint="eastAsia"/>
        </w:rPr>
        <w:t>歳の男性の非正規比率を</w:t>
      </w:r>
      <w:r w:rsidRPr="008370C2">
        <w:rPr>
          <w:rFonts w:hint="eastAsia"/>
        </w:rPr>
        <w:t>8%</w:t>
      </w:r>
      <w:r w:rsidRPr="008370C2">
        <w:rPr>
          <w:rFonts w:hint="eastAsia"/>
        </w:rPr>
        <w:t>ポイント上昇させた。小泉政権で、若年女性の過半数が正社員になれなくなり、結婚に見通しをもちにくい若年男性が増えた。そのうえに第</w:t>
      </w:r>
      <w:r w:rsidR="00954F51">
        <w:rPr>
          <w:rFonts w:hint="eastAsia"/>
        </w:rPr>
        <w:t>2</w:t>
      </w:r>
      <w:r w:rsidRPr="008370C2">
        <w:rPr>
          <w:rFonts w:hint="eastAsia"/>
        </w:rPr>
        <w:t>次安倍政権は、すべての年齢層で非正規化を進めたのだ。</w:t>
      </w:r>
    </w:p>
    <w:p w:rsidR="000E1009" w:rsidRDefault="000E1009" w:rsidP="008370C2"/>
    <w:p w:rsidR="000E1009" w:rsidRDefault="000E1009" w:rsidP="008370C2"/>
    <w:p w:rsidR="000E1009" w:rsidRPr="008370C2" w:rsidRDefault="000E1009" w:rsidP="008370C2">
      <w:r w:rsidRPr="008370C2">
        <w:object w:dxaOrig="8641" w:dyaOrig="6481">
          <v:shape id="_x0000_i1027" type="#_x0000_t75" style="width:379.5pt;height:201pt" o:ole="">
            <v:imagedata r:id="rId13" o:title=""/>
          </v:shape>
          <o:OLEObject Type="Embed" ProgID="Acrobat.Document.11" ShapeID="_x0000_i1027" DrawAspect="Content" ObjectID="_1479281192" r:id="rId14"/>
        </w:object>
      </w:r>
    </w:p>
    <w:p w:rsidR="000E1009" w:rsidRDefault="000E1009" w:rsidP="008370C2">
      <w:r w:rsidRPr="008370C2">
        <w:object w:dxaOrig="8641" w:dyaOrig="6481">
          <v:shape id="_x0000_i1028" type="#_x0000_t75" style="width:361.5pt;height:196.5pt" o:ole="">
            <v:imagedata r:id="rId15" o:title=""/>
          </v:shape>
          <o:OLEObject Type="Embed" ProgID="Acrobat.Document.11" ShapeID="_x0000_i1028" DrawAspect="Content" ObjectID="_1479281193" r:id="rId16"/>
        </w:object>
      </w:r>
    </w:p>
    <w:p w:rsidR="000E1009" w:rsidRDefault="000E1009">
      <w:pPr>
        <w:widowControl/>
        <w:jc w:val="left"/>
      </w:pPr>
      <w:r>
        <w:br w:type="page"/>
      </w:r>
    </w:p>
    <w:p w:rsidR="000E1009" w:rsidRPr="00954F51" w:rsidRDefault="000E1009" w:rsidP="008370C2">
      <w:pPr>
        <w:pBdr>
          <w:top w:val="double" w:sz="12" w:space="1" w:color="FF0000"/>
          <w:left w:val="double" w:sz="12" w:space="4" w:color="FF0000"/>
          <w:bottom w:val="double" w:sz="12" w:space="1" w:color="FF0000"/>
          <w:right w:val="double" w:sz="12" w:space="4" w:color="FF0000"/>
        </w:pBdr>
        <w:jc w:val="left"/>
        <w:rPr>
          <w:color w:val="FF0000"/>
          <w:sz w:val="24"/>
          <w:szCs w:val="24"/>
        </w:rPr>
      </w:pPr>
      <w:r w:rsidRPr="00954F51">
        <w:rPr>
          <w:rFonts w:hint="eastAsia"/>
          <w:color w:val="FF0000"/>
          <w:sz w:val="24"/>
          <w:szCs w:val="24"/>
        </w:rPr>
        <w:lastRenderedPageBreak/>
        <w:t>やはり口先だけだった「女性の活躍推進」。安倍政権の「すべて</w:t>
      </w:r>
      <w:r w:rsidR="00A15337" w:rsidRPr="00954F51">
        <w:rPr>
          <w:rFonts w:hint="eastAsia"/>
          <w:color w:val="FF0000"/>
          <w:sz w:val="24"/>
          <w:szCs w:val="24"/>
        </w:rPr>
        <w:t>の女性</w:t>
      </w:r>
      <w:r w:rsidRPr="00954F51">
        <w:rPr>
          <w:rFonts w:hint="eastAsia"/>
          <w:color w:val="FF0000"/>
          <w:sz w:val="24"/>
          <w:szCs w:val="24"/>
        </w:rPr>
        <w:t>が輝く」政策の行く末は女性の「活躍」どころか「資源化」。女性が男性とともに安心して働ける労働環境の実現に向けた改革を</w:t>
      </w:r>
    </w:p>
    <w:p w:rsidR="000E1009" w:rsidRDefault="000E1009" w:rsidP="008370C2">
      <w:pPr>
        <w:jc w:val="left"/>
        <w:rPr>
          <w:sz w:val="24"/>
          <w:szCs w:val="24"/>
        </w:rPr>
      </w:pPr>
    </w:p>
    <w:p w:rsidR="000E1009" w:rsidRPr="008370C2" w:rsidRDefault="000E1009" w:rsidP="008370C2">
      <w:pPr>
        <w:jc w:val="left"/>
        <w:rPr>
          <w:rFonts w:asciiTheme="minorEastAsia" w:hAnsiTheme="minorEastAsia"/>
          <w:szCs w:val="21"/>
        </w:rPr>
      </w:pPr>
      <w:r w:rsidRPr="008370C2">
        <w:rPr>
          <w:rFonts w:hint="eastAsia"/>
          <w:sz w:val="24"/>
          <w:szCs w:val="24"/>
        </w:rPr>
        <w:t xml:space="preserve">　</w:t>
      </w:r>
      <w:r w:rsidRPr="008370C2">
        <w:rPr>
          <w:rFonts w:asciiTheme="minorEastAsia" w:hAnsiTheme="minorEastAsia" w:hint="eastAsia"/>
          <w:szCs w:val="21"/>
        </w:rPr>
        <w:t>安倍政権は「女性の活躍推進」法案を、先の国会の重要法案として掲げていたが、突然の大義なき解散で、あっさりと放棄されてしまった。賃金が上がらないのに物価が上がる中で、女性が安心して働ける環境づくりは喫緊の政策課題である。それを投げ出してしまった安倍政権の無責任さは、厳しく追及されなければならない。</w:t>
      </w:r>
    </w:p>
    <w:p w:rsidR="000E1009" w:rsidRPr="008370C2" w:rsidRDefault="000E1009" w:rsidP="008370C2">
      <w:pPr>
        <w:jc w:val="left"/>
        <w:rPr>
          <w:rFonts w:asciiTheme="minorEastAsia" w:hAnsiTheme="minorEastAsia"/>
          <w:szCs w:val="21"/>
        </w:rPr>
      </w:pPr>
      <w:r w:rsidRPr="008370C2">
        <w:rPr>
          <w:rFonts w:asciiTheme="minorEastAsia" w:hAnsiTheme="minorEastAsia" w:hint="eastAsia"/>
          <w:szCs w:val="21"/>
        </w:rPr>
        <w:t xml:space="preserve">　そもそも安倍政権による「すべての女性が輝く政策」パッケージは、民主党政権時代に作られた政策の「改悪バージョン」でしかなかった。例えば、「女性の職業生活における活躍推進に関する法律案」は、「本人の意思が尊重され」、「女性の個性と能力が十分に発揮されることが一層重要」としているが、多くの女性が安心して働くために必要な制度改革が担保されていない。必要な制度改革とは、非正規/正規雇用間の処遇格差を是正し、正規雇用化を促進することなどである。安倍政権はむしろ、労働者派遣法改正案や「ホワイト・カラー・エグゼンプション」などにより、正社員であることのハードルを、男女双方に対して高くする方向に進んでいる。これでは、正社員となることはもちろん、正社員であり続けることが、いっそう困難となる。現状では多くの女性たちが、不利益を我慢しつつ非正規雇用を「本人の意思」として選択している。安倍政権の政策は、そうした現状の改善には役に立たない。結局安倍政権のアプローチは、労働力と社会保障費の不足を補うために、女性を都合のいい労働力「資源」として利用しようとしているにすぎない。</w:t>
      </w:r>
    </w:p>
    <w:p w:rsidR="000E1009" w:rsidRDefault="000E1009" w:rsidP="008370C2">
      <w:pPr>
        <w:jc w:val="left"/>
        <w:rPr>
          <w:rFonts w:asciiTheme="minorEastAsia" w:hAnsiTheme="minorEastAsia"/>
          <w:szCs w:val="21"/>
        </w:rPr>
      </w:pPr>
      <w:r w:rsidRPr="008370C2">
        <w:rPr>
          <w:rFonts w:asciiTheme="minorEastAsia" w:hAnsiTheme="minorEastAsia" w:hint="eastAsia"/>
          <w:szCs w:val="21"/>
        </w:rPr>
        <w:t xml:space="preserve">　これに対して、民主党は、真摯に働く者に寄り添い、公正な社会を実現するために、政策を作る努力を続けてきた。今回の突然の解散・総選挙は、民主党にとって、実効性のある対案を示し、その政策形成能力をアピールするための絶好の機会である。</w:t>
      </w:r>
    </w:p>
    <w:p w:rsidR="000E1009" w:rsidRPr="008370C2" w:rsidRDefault="000E1009" w:rsidP="008370C2">
      <w:pPr>
        <w:jc w:val="left"/>
        <w:rPr>
          <w:rFonts w:asciiTheme="minorEastAsia" w:hAnsiTheme="minorEastAsia"/>
          <w:szCs w:val="21"/>
        </w:rPr>
      </w:pPr>
    </w:p>
    <w:p w:rsidR="000E1009" w:rsidRDefault="000E1009" w:rsidP="008370C2">
      <w:pPr>
        <w:jc w:val="center"/>
      </w:pPr>
      <w:r w:rsidRPr="008370C2">
        <w:rPr>
          <w:noProof/>
        </w:rPr>
        <w:drawing>
          <wp:inline distT="0" distB="0" distL="0" distR="0" wp14:anchorId="41AD6186" wp14:editId="33832154">
            <wp:extent cx="5400136" cy="2294626"/>
            <wp:effectExtent l="0" t="0" r="0" b="0"/>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401310" cy="2295125"/>
                    </a:xfrm>
                    <a:prstGeom prst="rect">
                      <a:avLst/>
                    </a:prstGeom>
                    <a:noFill/>
                    <a:ln>
                      <a:noFill/>
                    </a:ln>
                  </pic:spPr>
                </pic:pic>
              </a:graphicData>
            </a:graphic>
          </wp:inline>
        </w:drawing>
      </w:r>
    </w:p>
    <w:p w:rsidR="000E1009" w:rsidRPr="008370C2" w:rsidRDefault="000E1009" w:rsidP="008370C2">
      <w:pPr>
        <w:jc w:val="center"/>
      </w:pPr>
    </w:p>
    <w:p w:rsidR="000E1009" w:rsidRPr="008370C2" w:rsidRDefault="000E1009" w:rsidP="008370C2">
      <w:pPr>
        <w:jc w:val="left"/>
        <w:rPr>
          <w:rFonts w:asciiTheme="minorEastAsia" w:hAnsiTheme="minorEastAsia"/>
          <w:sz w:val="16"/>
          <w:szCs w:val="16"/>
        </w:rPr>
      </w:pPr>
      <w:r w:rsidRPr="008370C2">
        <w:rPr>
          <w:rFonts w:asciiTheme="minorEastAsia" w:hAnsiTheme="minorEastAsia" w:hint="eastAsia"/>
          <w:sz w:val="16"/>
          <w:szCs w:val="16"/>
        </w:rPr>
        <w:t xml:space="preserve">男女共同参画白書平成26年度版　</w:t>
      </w:r>
    </w:p>
    <w:p w:rsidR="000E1009" w:rsidRPr="008370C2" w:rsidRDefault="000E1009" w:rsidP="008370C2">
      <w:pPr>
        <w:pBdr>
          <w:top w:val="single" w:sz="18" w:space="1" w:color="auto"/>
          <w:left w:val="single" w:sz="18" w:space="4" w:color="auto"/>
          <w:bottom w:val="single" w:sz="18" w:space="1" w:color="auto"/>
          <w:right w:val="single" w:sz="18" w:space="4" w:color="auto"/>
        </w:pBdr>
        <w:ind w:firstLineChars="100" w:firstLine="210"/>
        <w:jc w:val="left"/>
        <w:rPr>
          <w:rFonts w:asciiTheme="minorEastAsia" w:hAnsiTheme="minorEastAsia"/>
        </w:rPr>
      </w:pPr>
      <w:r w:rsidRPr="008370C2">
        <w:rPr>
          <w:rFonts w:asciiTheme="minorEastAsia" w:hAnsiTheme="minorEastAsia" w:hint="eastAsia"/>
        </w:rPr>
        <w:t xml:space="preserve">現在、女性雇用者の55.8%が非正規雇用者（パート、アルバイト、派遣など）であるが、フルタイムで働いていない女性労働者と男性一般労働者の賃金格差は50.7対100である。　</w:t>
      </w:r>
    </w:p>
    <w:p w:rsidR="000E1009" w:rsidRPr="008370C2" w:rsidRDefault="000E1009" w:rsidP="008370C2">
      <w:pPr>
        <w:pBdr>
          <w:top w:val="single" w:sz="18" w:space="1" w:color="auto"/>
          <w:left w:val="single" w:sz="18" w:space="4" w:color="auto"/>
          <w:bottom w:val="single" w:sz="18" w:space="1" w:color="auto"/>
          <w:right w:val="single" w:sz="18" w:space="4" w:color="auto"/>
        </w:pBdr>
        <w:ind w:firstLineChars="100" w:firstLine="210"/>
        <w:jc w:val="left"/>
        <w:rPr>
          <w:rFonts w:asciiTheme="minorEastAsia" w:hAnsiTheme="minorEastAsia"/>
        </w:rPr>
      </w:pPr>
      <w:r w:rsidRPr="008370C2">
        <w:rPr>
          <w:rFonts w:asciiTheme="minorEastAsia" w:hAnsiTheme="minorEastAsia" w:hint="eastAsia"/>
        </w:rPr>
        <w:t>主婦の仕事探しのためのウェブサイトである「しゅふJOB」の会員アンケート調査では、配偶者控除と扶養枠が廃止された場合にフルタイムを希望すると答える者の割合はほぼ倍増する。しかし、フリーコメント欄からは、制度が変更されたとしても適当な働き場所を見つけられないのではないかという強い不安が読み取れる。</w:t>
      </w:r>
    </w:p>
    <w:p w:rsidR="000E1009" w:rsidRDefault="000E1009" w:rsidP="004274FF">
      <w:pPr>
        <w:pBdr>
          <w:top w:val="single" w:sz="18" w:space="1" w:color="auto"/>
          <w:left w:val="single" w:sz="18" w:space="4" w:color="auto"/>
          <w:bottom w:val="single" w:sz="18" w:space="1" w:color="auto"/>
          <w:right w:val="single" w:sz="18" w:space="4" w:color="auto"/>
        </w:pBdr>
        <w:ind w:firstLineChars="100" w:firstLine="210"/>
        <w:jc w:val="left"/>
      </w:pPr>
      <w:r w:rsidRPr="008370C2">
        <w:rPr>
          <w:rFonts w:asciiTheme="minorEastAsia" w:hAnsiTheme="minorEastAsia"/>
        </w:rPr>
        <w:t>http://www.bstylegroup</w:t>
      </w:r>
      <w:r>
        <w:rPr>
          <w:rFonts w:asciiTheme="minorEastAsia" w:hAnsiTheme="minorEastAsia"/>
        </w:rPr>
        <w:t>.co.jp/news/shufu-job/news-3305</w:t>
      </w:r>
    </w:p>
    <w:p w:rsidR="005A63DD" w:rsidRPr="00954F51" w:rsidRDefault="005A63DD" w:rsidP="00475064">
      <w:pPr>
        <w:pBdr>
          <w:top w:val="double" w:sz="12" w:space="1" w:color="FF0000"/>
          <w:left w:val="double" w:sz="12" w:space="4" w:color="FF0000"/>
          <w:bottom w:val="double" w:sz="12" w:space="1" w:color="FF0000"/>
          <w:right w:val="double" w:sz="12" w:space="4" w:color="FF0000"/>
        </w:pBdr>
        <w:rPr>
          <w:color w:val="FF0000"/>
          <w:sz w:val="24"/>
          <w:szCs w:val="24"/>
        </w:rPr>
      </w:pPr>
      <w:r>
        <w:br w:type="page"/>
      </w:r>
      <w:r w:rsidRPr="00954F51">
        <w:rPr>
          <w:rFonts w:hint="eastAsia"/>
          <w:color w:val="FF0000"/>
          <w:sz w:val="24"/>
          <w:szCs w:val="24"/>
        </w:rPr>
        <w:lastRenderedPageBreak/>
        <w:t>アベノミクスでは貧困の連鎖を断ち切れない</w:t>
      </w:r>
    </w:p>
    <w:p w:rsidR="005A63DD" w:rsidRDefault="005A63DD" w:rsidP="00E60DB2">
      <w:pPr>
        <w:ind w:firstLineChars="100" w:firstLine="210"/>
      </w:pPr>
    </w:p>
    <w:p w:rsidR="005A63DD" w:rsidRPr="00CE4672" w:rsidRDefault="005A63DD" w:rsidP="00E60DB2">
      <w:pPr>
        <w:ind w:firstLineChars="100" w:firstLine="210"/>
        <w:rPr>
          <w:rFonts w:asciiTheme="minorEastAsia" w:hAnsiTheme="minorEastAsia"/>
        </w:rPr>
      </w:pPr>
      <w:r>
        <w:rPr>
          <w:rFonts w:hint="eastAsia"/>
        </w:rPr>
        <w:t>安倍内閣は、</w:t>
      </w:r>
      <w:r w:rsidR="00954F51">
        <w:rPr>
          <w:rFonts w:hint="eastAsia"/>
        </w:rPr>
        <w:t>8</w:t>
      </w:r>
      <w:r w:rsidRPr="00CE4672">
        <w:rPr>
          <w:rFonts w:asciiTheme="minorEastAsia" w:hAnsiTheme="minorEastAsia" w:hint="eastAsia"/>
        </w:rPr>
        <w:t>月に子どもの貧困対策に</w:t>
      </w:r>
      <w:r w:rsidR="00954F51">
        <w:rPr>
          <w:rFonts w:asciiTheme="minorEastAsia" w:hAnsiTheme="minorEastAsia" w:hint="eastAsia"/>
        </w:rPr>
        <w:t>関</w:t>
      </w:r>
      <w:r w:rsidRPr="00CE4672">
        <w:rPr>
          <w:rFonts w:asciiTheme="minorEastAsia" w:hAnsiTheme="minorEastAsia" w:hint="eastAsia"/>
        </w:rPr>
        <w:t>する大綱</w:t>
      </w:r>
      <w:r>
        <w:rPr>
          <w:rFonts w:asciiTheme="minorEastAsia" w:hAnsiTheme="minorEastAsia" w:hint="eastAsia"/>
        </w:rPr>
        <w:t>を</w:t>
      </w:r>
      <w:r w:rsidRPr="00CE4672">
        <w:rPr>
          <w:rFonts w:asciiTheme="minorEastAsia" w:hAnsiTheme="minorEastAsia" w:hint="eastAsia"/>
        </w:rPr>
        <w:t>閣議決定</w:t>
      </w:r>
      <w:r>
        <w:rPr>
          <w:rFonts w:asciiTheme="minorEastAsia" w:hAnsiTheme="minorEastAsia" w:hint="eastAsia"/>
        </w:rPr>
        <w:t>した。この大綱に実効性を期待できるだろうか。じつは</w:t>
      </w:r>
      <w:r w:rsidRPr="00CE4672">
        <w:rPr>
          <w:rFonts w:asciiTheme="minorEastAsia" w:hAnsiTheme="minorEastAsia" w:hint="eastAsia"/>
        </w:rPr>
        <w:t>日本で子どもの貧困が話題になったのは、</w:t>
      </w:r>
      <w:r>
        <w:rPr>
          <w:rFonts w:asciiTheme="minorEastAsia" w:hAnsiTheme="minorEastAsia" w:hint="eastAsia"/>
        </w:rPr>
        <w:t>今年が</w:t>
      </w:r>
      <w:r w:rsidRPr="00CE4672">
        <w:rPr>
          <w:rFonts w:asciiTheme="minorEastAsia" w:hAnsiTheme="minorEastAsia" w:hint="eastAsia"/>
        </w:rPr>
        <w:t>初めてでは</w:t>
      </w:r>
      <w:r>
        <w:rPr>
          <w:rFonts w:asciiTheme="minorEastAsia" w:hAnsiTheme="minorEastAsia" w:hint="eastAsia"/>
        </w:rPr>
        <w:t>ない。</w:t>
      </w:r>
      <w:r w:rsidRPr="00CE4672">
        <w:rPr>
          <w:rFonts w:asciiTheme="minorEastAsia" w:hAnsiTheme="minorEastAsia" w:hint="eastAsia"/>
        </w:rPr>
        <w:t>経済協力開発機構OECDのような国際機関は、2000年代の前半から、日本の子どもの貧困</w:t>
      </w:r>
      <w:r>
        <w:rPr>
          <w:rFonts w:asciiTheme="minorEastAsia" w:hAnsiTheme="minorEastAsia" w:hint="eastAsia"/>
        </w:rPr>
        <w:t>に</w:t>
      </w:r>
      <w:r w:rsidRPr="00CE4672">
        <w:rPr>
          <w:rFonts w:asciiTheme="minorEastAsia" w:hAnsiTheme="minorEastAsia" w:hint="eastAsia"/>
        </w:rPr>
        <w:t>注意してきた。</w:t>
      </w:r>
      <w:r>
        <w:rPr>
          <w:rFonts w:asciiTheme="minorEastAsia" w:hAnsiTheme="minorEastAsia" w:hint="eastAsia"/>
        </w:rPr>
        <w:t>しかし政府は</w:t>
      </w:r>
      <w:r w:rsidRPr="00CE4672">
        <w:rPr>
          <w:rFonts w:asciiTheme="minorEastAsia" w:hAnsiTheme="minorEastAsia" w:hint="eastAsia"/>
        </w:rPr>
        <w:t>貧困率を</w:t>
      </w:r>
      <w:r>
        <w:rPr>
          <w:rFonts w:asciiTheme="minorEastAsia" w:hAnsiTheme="minorEastAsia" w:hint="eastAsia"/>
        </w:rPr>
        <w:t>測ることをしなかった</w:t>
      </w:r>
      <w:r w:rsidRPr="00CE4672">
        <w:rPr>
          <w:rFonts w:asciiTheme="minorEastAsia" w:hAnsiTheme="minorEastAsia" w:hint="eastAsia"/>
        </w:rPr>
        <w:t>。貧困問題が重要ではないと考えていた</w:t>
      </w:r>
      <w:r>
        <w:rPr>
          <w:rFonts w:asciiTheme="minorEastAsia" w:hAnsiTheme="minorEastAsia" w:hint="eastAsia"/>
        </w:rPr>
        <w:t>からである。小泉内閣の総務大臣だった竹中平蔵氏</w:t>
      </w:r>
      <w:r w:rsidRPr="00CE4672">
        <w:rPr>
          <w:rFonts w:asciiTheme="minorEastAsia" w:hAnsiTheme="minorEastAsia" w:hint="eastAsia"/>
        </w:rPr>
        <w:t>は</w:t>
      </w:r>
      <w:r>
        <w:rPr>
          <w:rFonts w:asciiTheme="minorEastAsia" w:hAnsiTheme="minorEastAsia" w:hint="eastAsia"/>
        </w:rPr>
        <w:t>2006年に</w:t>
      </w:r>
      <w:r w:rsidRPr="00CE4672">
        <w:rPr>
          <w:rFonts w:asciiTheme="minorEastAsia" w:hAnsiTheme="minorEastAsia" w:hint="eastAsia"/>
        </w:rPr>
        <w:t>、日本社会には貧困問題は存在しないと、新聞のインタビューで断言したほどで</w:t>
      </w:r>
      <w:r>
        <w:rPr>
          <w:rFonts w:asciiTheme="minorEastAsia" w:hAnsiTheme="minorEastAsia" w:hint="eastAsia"/>
        </w:rPr>
        <w:t>ある。</w:t>
      </w:r>
    </w:p>
    <w:p w:rsidR="005A63DD" w:rsidRDefault="005A63DD" w:rsidP="00E60DB2">
      <w:pPr>
        <w:ind w:firstLineChars="100" w:firstLine="210"/>
        <w:rPr>
          <w:rFonts w:asciiTheme="minorEastAsia" w:hAnsiTheme="minorEastAsia"/>
        </w:rPr>
      </w:pPr>
      <w:r w:rsidRPr="00CE4672">
        <w:rPr>
          <w:rFonts w:asciiTheme="minorEastAsia" w:hAnsiTheme="minorEastAsia" w:hint="eastAsia"/>
        </w:rPr>
        <w:t>2009年9月に</w:t>
      </w:r>
      <w:r>
        <w:rPr>
          <w:rFonts w:asciiTheme="minorEastAsia" w:hAnsiTheme="minorEastAsia" w:hint="eastAsia"/>
        </w:rPr>
        <w:t>民主党政権ができると、すぐに厚生労働大臣の長妻昭氏が</w:t>
      </w:r>
      <w:r w:rsidRPr="00CE4672">
        <w:rPr>
          <w:rFonts w:asciiTheme="minorEastAsia" w:hAnsiTheme="minorEastAsia" w:hint="eastAsia"/>
        </w:rPr>
        <w:t>貧困率</w:t>
      </w:r>
      <w:r>
        <w:rPr>
          <w:rFonts w:asciiTheme="minorEastAsia" w:hAnsiTheme="minorEastAsia" w:hint="eastAsia"/>
        </w:rPr>
        <w:t>を</w:t>
      </w:r>
      <w:r w:rsidRPr="00CE4672">
        <w:rPr>
          <w:rFonts w:asciiTheme="minorEastAsia" w:hAnsiTheme="minorEastAsia" w:hint="eastAsia"/>
        </w:rPr>
        <w:t>公表</w:t>
      </w:r>
      <w:r>
        <w:rPr>
          <w:rFonts w:asciiTheme="minorEastAsia" w:hAnsiTheme="minorEastAsia" w:hint="eastAsia"/>
        </w:rPr>
        <w:t>した</w:t>
      </w:r>
      <w:r w:rsidRPr="00CE4672">
        <w:rPr>
          <w:rFonts w:asciiTheme="minorEastAsia" w:hAnsiTheme="minorEastAsia" w:hint="eastAsia"/>
        </w:rPr>
        <w:t>。</w:t>
      </w:r>
      <w:r>
        <w:rPr>
          <w:rFonts w:asciiTheme="minorEastAsia" w:hAnsiTheme="minorEastAsia" w:hint="eastAsia"/>
        </w:rPr>
        <w:t>とくに子どもについて</w:t>
      </w:r>
      <w:r w:rsidRPr="00CE4672">
        <w:rPr>
          <w:rFonts w:asciiTheme="minorEastAsia" w:hAnsiTheme="minorEastAsia" w:hint="eastAsia"/>
        </w:rPr>
        <w:t>対策</w:t>
      </w:r>
      <w:r>
        <w:rPr>
          <w:rFonts w:asciiTheme="minorEastAsia" w:hAnsiTheme="minorEastAsia" w:hint="eastAsia"/>
        </w:rPr>
        <w:t>が必要だという機運が高まり、子どもの貧困対策法ができて大綱がつくられた。しかし、安倍内閣の大綱では経済的支援が弱く、保護者の就労支援も実態に合わない。外国と比較すると日本の貧困の特徴は、働いても、共稼ぎでも、貧困から抜け出られない点にある。また、税・社会保障制度が貧困を削減する効果が非常に弱く、とくに働いている人、子どもにとっては、効果がマイナスになる。</w:t>
      </w:r>
    </w:p>
    <w:p w:rsidR="005A63DD" w:rsidRDefault="005A63DD" w:rsidP="00394ADF">
      <w:pPr>
        <w:ind w:firstLineChars="100" w:firstLine="210"/>
        <w:rPr>
          <w:rFonts w:asciiTheme="minorEastAsia" w:hAnsiTheme="minorEastAsia"/>
        </w:rPr>
      </w:pPr>
      <w:r>
        <w:rPr>
          <w:rFonts w:asciiTheme="minorEastAsia" w:hAnsiTheme="minorEastAsia" w:hint="eastAsia"/>
        </w:rPr>
        <w:t>これは働くこと、子どもを産み育てることが、税・社会保障制度によって罰を受けているようなものである。そうした問題への意識が、アベノミクスには決定的に欠けている。</w:t>
      </w:r>
    </w:p>
    <w:p w:rsidR="005A63DD" w:rsidRDefault="005A63DD" w:rsidP="00394ADF">
      <w:pPr>
        <w:ind w:firstLineChars="100" w:firstLine="210"/>
        <w:rPr>
          <w:rFonts w:asciiTheme="minorEastAsia" w:hAnsiTheme="minorEastAsia"/>
        </w:rPr>
      </w:pPr>
    </w:p>
    <w:p w:rsidR="005A63DD" w:rsidRDefault="005A63DD" w:rsidP="000C0893">
      <w:pPr>
        <w:jc w:val="center"/>
      </w:pPr>
      <w:r w:rsidRPr="00394ADF">
        <w:object w:dxaOrig="8641" w:dyaOrig="6481">
          <v:shape id="_x0000_i1029" type="#_x0000_t75" style="width:350.25pt;height:179.25pt" o:ole="">
            <v:imagedata r:id="rId18" o:title=""/>
          </v:shape>
          <o:OLEObject Type="Embed" ProgID="Acrobat.Document.11" ShapeID="_x0000_i1029" DrawAspect="Content" ObjectID="_1479281194" r:id="rId19"/>
        </w:object>
      </w:r>
    </w:p>
    <w:p w:rsidR="005A63DD" w:rsidRPr="00E60DB2" w:rsidRDefault="005A63DD" w:rsidP="00271051">
      <w:pPr>
        <w:jc w:val="center"/>
      </w:pPr>
      <w:r w:rsidRPr="00394ADF">
        <w:object w:dxaOrig="8641" w:dyaOrig="6481">
          <v:shape id="_x0000_i1030" type="#_x0000_t75" style="width:280.5pt;height:179.25pt" o:ole="">
            <v:imagedata r:id="rId20" o:title=""/>
          </v:shape>
          <o:OLEObject Type="Embed" ProgID="Acrobat.Document.11" ShapeID="_x0000_i1030" DrawAspect="Content" ObjectID="_1479281195" r:id="rId21"/>
        </w:object>
      </w:r>
    </w:p>
    <w:p w:rsidR="005A63DD" w:rsidRDefault="005A63DD">
      <w:pPr>
        <w:widowControl/>
        <w:jc w:val="left"/>
      </w:pPr>
    </w:p>
    <w:p w:rsidR="005A63DD" w:rsidRDefault="005A63DD">
      <w:pPr>
        <w:widowControl/>
        <w:jc w:val="left"/>
      </w:pPr>
      <w:r>
        <w:br w:type="page"/>
      </w:r>
    </w:p>
    <w:p w:rsidR="000E1009" w:rsidRPr="00954F51" w:rsidRDefault="000E1009" w:rsidP="004567B2">
      <w:pPr>
        <w:pBdr>
          <w:top w:val="double" w:sz="12" w:space="1" w:color="FF0000"/>
          <w:left w:val="double" w:sz="12" w:space="4" w:color="FF0000"/>
          <w:bottom w:val="double" w:sz="12" w:space="1" w:color="FF0000"/>
          <w:right w:val="double" w:sz="12" w:space="4" w:color="FF0000"/>
        </w:pBdr>
        <w:rPr>
          <w:color w:val="FF0000"/>
          <w:sz w:val="24"/>
          <w:szCs w:val="24"/>
        </w:rPr>
      </w:pPr>
      <w:r w:rsidRPr="00954F51">
        <w:rPr>
          <w:rFonts w:hint="eastAsia"/>
          <w:color w:val="FF0000"/>
          <w:sz w:val="24"/>
          <w:szCs w:val="24"/>
        </w:rPr>
        <w:lastRenderedPageBreak/>
        <w:t>アベノミクスは復興に冷水を浴びせた</w:t>
      </w:r>
    </w:p>
    <w:p w:rsidR="000E1009" w:rsidRDefault="000E1009" w:rsidP="008B2CB6">
      <w:r>
        <w:rPr>
          <w:rFonts w:hint="eastAsia"/>
        </w:rPr>
        <w:t xml:space="preserve">　</w:t>
      </w:r>
    </w:p>
    <w:p w:rsidR="000E1009" w:rsidRDefault="000E1009" w:rsidP="00954F51">
      <w:pPr>
        <w:ind w:firstLineChars="100" w:firstLine="210"/>
        <w:rPr>
          <w:rFonts w:asciiTheme="minorEastAsia" w:hAnsiTheme="minorEastAsia"/>
          <w:szCs w:val="24"/>
        </w:rPr>
      </w:pPr>
      <w:r>
        <w:rPr>
          <w:rFonts w:asciiTheme="minorEastAsia" w:hAnsiTheme="minorEastAsia" w:hint="eastAsia"/>
          <w:szCs w:val="24"/>
        </w:rPr>
        <w:t>東日本大震災からの復旧・復興について、政府は「復興の加速化」と「新しい東北の創造」を推進してきたという。しかし、安倍政権のもとでは東北と全国の鉱工業生産指数のギャップが広がり、復興が加速したとは到底いえない。</w:t>
      </w:r>
    </w:p>
    <w:p w:rsidR="000E1009" w:rsidRDefault="000E1009" w:rsidP="00133D54">
      <w:pPr>
        <w:ind w:firstLineChars="100" w:firstLine="210"/>
        <w:rPr>
          <w:rFonts w:asciiTheme="minorEastAsia" w:hAnsiTheme="minorEastAsia"/>
          <w:szCs w:val="24"/>
        </w:rPr>
      </w:pPr>
      <w:r>
        <w:rPr>
          <w:rFonts w:asciiTheme="minorEastAsia" w:hAnsiTheme="minorEastAsia" w:hint="eastAsia"/>
          <w:szCs w:val="24"/>
        </w:rPr>
        <w:t>アベノミクスに伴い、株価が上昇し円安が進んだが、その影響はどうだったか。東北財務局の2013年4月のレポートによれば、管内111社へのヒアリング（13年</w:t>
      </w:r>
      <w:r w:rsidR="00954F51">
        <w:rPr>
          <w:rFonts w:asciiTheme="minorEastAsia" w:hAnsiTheme="minorEastAsia" w:hint="eastAsia"/>
          <w:szCs w:val="24"/>
        </w:rPr>
        <w:t>2－3</w:t>
      </w:r>
      <w:r>
        <w:rPr>
          <w:rFonts w:asciiTheme="minorEastAsia" w:hAnsiTheme="minorEastAsia" w:hint="eastAsia"/>
          <w:szCs w:val="24"/>
        </w:rPr>
        <w:t>月調査）にたいして、</w:t>
      </w:r>
      <w:r w:rsidR="00954F51">
        <w:rPr>
          <w:rFonts w:asciiTheme="minorEastAsia" w:hAnsiTheme="minorEastAsia" w:hint="eastAsia"/>
          <w:szCs w:val="24"/>
        </w:rPr>
        <w:t>8</w:t>
      </w:r>
      <w:r>
        <w:rPr>
          <w:rFonts w:asciiTheme="minorEastAsia" w:hAnsiTheme="minorEastAsia" w:hint="eastAsia"/>
          <w:szCs w:val="24"/>
        </w:rPr>
        <w:t>割弱の企業がメリットなしと回答し、先行きについても期待するという回答は35％に過ぎなかった。東北の企業では親会社等を経由する間接的な輸出が多く（輸送機械、電子部品・デバイスなど）、円安の直接のメリットを受けない。また原材料を輸入する企業（食料品、窯業・土石など）では、円安は大きなデメリットとなる。東北経済では食料品、電子部品・デバイスのウェイトが高い。13年度からさらに進んだ円安は、東北経済にダメージを与えた。</w:t>
      </w:r>
    </w:p>
    <w:p w:rsidR="000E1009" w:rsidRDefault="000E1009" w:rsidP="00133D54">
      <w:pPr>
        <w:ind w:firstLineChars="100" w:firstLine="210"/>
        <w:rPr>
          <w:rFonts w:asciiTheme="minorEastAsia" w:hAnsiTheme="minorEastAsia"/>
          <w:szCs w:val="24"/>
        </w:rPr>
      </w:pPr>
      <w:r>
        <w:rPr>
          <w:rFonts w:asciiTheme="minorEastAsia" w:hAnsiTheme="minorEastAsia" w:hint="eastAsia"/>
          <w:szCs w:val="24"/>
        </w:rPr>
        <w:t>これは賃金にも反映している。安倍政権発足後、実質賃金の対前年同月の増減率は、マイナスが多くなり、今年6月と8月はマイナス幅が特に大きい。</w:t>
      </w:r>
    </w:p>
    <w:p w:rsidR="000E1009" w:rsidRDefault="000E1009" w:rsidP="00133D54">
      <w:pPr>
        <w:ind w:firstLineChars="100" w:firstLine="210"/>
        <w:rPr>
          <w:rFonts w:asciiTheme="minorEastAsia" w:hAnsiTheme="minorEastAsia"/>
          <w:szCs w:val="24"/>
        </w:rPr>
      </w:pPr>
    </w:p>
    <w:p w:rsidR="000E1009" w:rsidRPr="00212DD7" w:rsidRDefault="000E1009">
      <w:pPr>
        <w:rPr>
          <w:rFonts w:ascii="ＭＳ Ｐゴシック" w:eastAsia="ＭＳ Ｐゴシック" w:hAnsi="ＭＳ Ｐゴシック"/>
          <w:b/>
          <w:sz w:val="16"/>
          <w:szCs w:val="16"/>
        </w:rPr>
        <w:sectPr w:rsidR="000E1009" w:rsidRPr="00212DD7" w:rsidSect="00FE483E">
          <w:footerReference w:type="default" r:id="rId22"/>
          <w:pgSz w:w="11906" w:h="16838"/>
          <w:pgMar w:top="1985" w:right="1701" w:bottom="1701" w:left="1701" w:header="709" w:footer="709" w:gutter="0"/>
          <w:pgNumType w:start="1"/>
          <w:cols w:space="425"/>
          <w:docGrid w:linePitch="360"/>
        </w:sectPr>
      </w:pPr>
      <w:r>
        <w:rPr>
          <w:rFonts w:hint="eastAsia"/>
          <w:noProof/>
        </w:rPr>
        <w:drawing>
          <wp:inline distT="0" distB="0" distL="0" distR="0" wp14:anchorId="48A27094" wp14:editId="1AC5A82C">
            <wp:extent cx="2251494" cy="1988388"/>
            <wp:effectExtent l="0" t="0" r="0" b="0"/>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251032" cy="1987980"/>
                    </a:xfrm>
                    <a:prstGeom prst="rect">
                      <a:avLst/>
                    </a:prstGeom>
                    <a:noFill/>
                    <a:ln>
                      <a:noFill/>
                    </a:ln>
                  </pic:spPr>
                </pic:pic>
              </a:graphicData>
            </a:graphic>
          </wp:inline>
        </w:drawing>
      </w:r>
      <w:r>
        <w:t xml:space="preserve">　　　　</w:t>
      </w:r>
      <w:r w:rsidRPr="00615A96">
        <w:rPr>
          <w:rFonts w:ascii="ＭＳ Ｐゴシック" w:eastAsia="ＭＳ Ｐゴシック" w:hAnsi="ＭＳ Ｐゴシック"/>
          <w:b/>
          <w:sz w:val="16"/>
          <w:szCs w:val="16"/>
        </w:rPr>
        <w:t>宮城県と全国の</w:t>
      </w:r>
      <w:r>
        <w:rPr>
          <w:rFonts w:ascii="ＭＳ Ｐゴシック" w:eastAsia="ＭＳ Ｐゴシック" w:hAnsi="ＭＳ Ｐゴシック"/>
          <w:b/>
          <w:sz w:val="16"/>
          <w:szCs w:val="16"/>
        </w:rPr>
        <w:t>月別実質賃金指数（対前年比同月の増減率）</w:t>
      </w:r>
    </w:p>
    <w:p w:rsidR="000E1009" w:rsidRDefault="000E1009" w:rsidP="00615A96">
      <w:pPr>
        <w:ind w:firstLineChars="100" w:firstLine="161"/>
        <w:rPr>
          <w:rFonts w:ascii="ＭＳ Ｐゴシック" w:eastAsia="ＭＳ Ｐゴシック" w:hAnsi="ＭＳ Ｐゴシック"/>
          <w:b/>
          <w:sz w:val="16"/>
          <w:szCs w:val="16"/>
        </w:rPr>
      </w:pPr>
      <w:r w:rsidRPr="00212DD7">
        <w:rPr>
          <w:rFonts w:ascii="ＭＳ Ｐゴシック" w:eastAsia="ＭＳ Ｐゴシック" w:hAnsi="ＭＳ Ｐゴシック" w:hint="eastAsia"/>
          <w:b/>
          <w:sz w:val="16"/>
          <w:szCs w:val="16"/>
        </w:rPr>
        <w:lastRenderedPageBreak/>
        <w:t>宮城県の月別実質賃金指数（対前年同月の増減率）</w:t>
      </w:r>
    </w:p>
    <w:p w:rsidR="000E1009" w:rsidRDefault="000E1009" w:rsidP="004567B2">
      <w:pPr>
        <w:rPr>
          <w:rFonts w:ascii="ＭＳ Ｐゴシック" w:eastAsia="ＭＳ Ｐゴシック" w:hAnsi="ＭＳ Ｐゴシック"/>
          <w:b/>
          <w:sz w:val="16"/>
          <w:szCs w:val="16"/>
        </w:rPr>
      </w:pPr>
      <w:r>
        <w:rPr>
          <w:rFonts w:ascii="ＭＳ Ｐゴシック" w:eastAsia="ＭＳ Ｐゴシック" w:hAnsi="ＭＳ Ｐゴシック"/>
          <w:b/>
          <w:noProof/>
          <w:sz w:val="16"/>
          <w:szCs w:val="16"/>
        </w:rPr>
        <w:drawing>
          <wp:inline distT="0" distB="0" distL="0" distR="0" wp14:anchorId="072B0FAB" wp14:editId="1A04C0E8">
            <wp:extent cx="2707005" cy="2164080"/>
            <wp:effectExtent l="0" t="0" r="0" b="7620"/>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707005" cy="2164080"/>
                    </a:xfrm>
                    <a:prstGeom prst="rect">
                      <a:avLst/>
                    </a:prstGeom>
                    <a:noFill/>
                    <a:ln>
                      <a:noFill/>
                    </a:ln>
                  </pic:spPr>
                </pic:pic>
              </a:graphicData>
            </a:graphic>
          </wp:inline>
        </w:drawing>
      </w:r>
    </w:p>
    <w:p w:rsidR="000E1009" w:rsidRPr="00615A96" w:rsidRDefault="000E1009" w:rsidP="00212DD7">
      <w:pPr>
        <w:ind w:firstLineChars="100" w:firstLine="160"/>
        <w:rPr>
          <w:rFonts w:asciiTheme="minorEastAsia" w:hAnsiTheme="minorEastAsia"/>
          <w:sz w:val="16"/>
          <w:szCs w:val="16"/>
        </w:rPr>
      </w:pPr>
      <w:r w:rsidRPr="00615A96">
        <w:rPr>
          <w:rFonts w:asciiTheme="minorEastAsia" w:hAnsiTheme="minorEastAsia" w:hint="eastAsia"/>
          <w:sz w:val="16"/>
          <w:szCs w:val="16"/>
        </w:rPr>
        <w:t>出所：宮城県「みやぎの雇用と賃金」各年各月版のデータより作成</w:t>
      </w:r>
    </w:p>
    <w:p w:rsidR="000E1009" w:rsidRDefault="000E1009">
      <w:r>
        <w:rPr>
          <w:rFonts w:hint="eastAsia"/>
          <w:noProof/>
        </w:rPr>
        <w:lastRenderedPageBreak/>
        <w:drawing>
          <wp:inline distT="0" distB="0" distL="0" distR="0" wp14:anchorId="43693715" wp14:editId="36730050">
            <wp:extent cx="2889850" cy="2191109"/>
            <wp:effectExtent l="0" t="0" r="6350" b="0"/>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889851" cy="2191110"/>
                    </a:xfrm>
                    <a:prstGeom prst="rect">
                      <a:avLst/>
                    </a:prstGeom>
                    <a:noFill/>
                    <a:ln>
                      <a:noFill/>
                    </a:ln>
                  </pic:spPr>
                </pic:pic>
              </a:graphicData>
            </a:graphic>
          </wp:inline>
        </w:drawing>
      </w:r>
    </w:p>
    <w:p w:rsidR="000E1009" w:rsidRDefault="000E1009" w:rsidP="00615A96">
      <w:pPr>
        <w:ind w:firstLineChars="200" w:firstLine="320"/>
        <w:rPr>
          <w:sz w:val="16"/>
          <w:szCs w:val="16"/>
        </w:rPr>
      </w:pPr>
      <w:r>
        <w:rPr>
          <w:rFonts w:hint="eastAsia"/>
          <w:sz w:val="16"/>
          <w:szCs w:val="16"/>
        </w:rPr>
        <w:t>出所：毎月勤労統計の全国結果と宮城県結果</w:t>
      </w:r>
    </w:p>
    <w:p w:rsidR="000E1009" w:rsidRDefault="000E1009" w:rsidP="00615A96">
      <w:pPr>
        <w:ind w:firstLineChars="200" w:firstLine="320"/>
        <w:rPr>
          <w:sz w:val="16"/>
          <w:szCs w:val="16"/>
        </w:rPr>
      </w:pPr>
    </w:p>
    <w:p w:rsidR="000E1009" w:rsidRDefault="000E1009" w:rsidP="00615A96">
      <w:pPr>
        <w:ind w:firstLineChars="200" w:firstLine="320"/>
        <w:rPr>
          <w:sz w:val="16"/>
          <w:szCs w:val="16"/>
        </w:rPr>
      </w:pPr>
    </w:p>
    <w:p w:rsidR="000E1009" w:rsidRDefault="000E1009" w:rsidP="00615A96">
      <w:pPr>
        <w:ind w:firstLineChars="200" w:firstLine="320"/>
        <w:rPr>
          <w:sz w:val="16"/>
          <w:szCs w:val="16"/>
        </w:rPr>
        <w:sectPr w:rsidR="000E1009" w:rsidSect="00180109">
          <w:type w:val="continuous"/>
          <w:pgSz w:w="11906" w:h="16838"/>
          <w:pgMar w:top="1985" w:right="1701" w:bottom="1701" w:left="1701" w:header="851" w:footer="992" w:gutter="0"/>
          <w:cols w:num="2" w:space="425"/>
          <w:docGrid w:type="lines" w:linePitch="328"/>
        </w:sectPr>
      </w:pPr>
    </w:p>
    <w:p w:rsidR="000E1009" w:rsidRPr="00954F51" w:rsidRDefault="000E1009" w:rsidP="00647AF3">
      <w:pPr>
        <w:pBdr>
          <w:top w:val="double" w:sz="12" w:space="1" w:color="FF0000"/>
          <w:left w:val="double" w:sz="12" w:space="4" w:color="FF0000"/>
          <w:bottom w:val="double" w:sz="12" w:space="1" w:color="FF0000"/>
          <w:right w:val="double" w:sz="12" w:space="4" w:color="FF0000"/>
        </w:pBdr>
        <w:rPr>
          <w:color w:val="FF0000"/>
          <w:sz w:val="24"/>
          <w:szCs w:val="24"/>
        </w:rPr>
      </w:pPr>
      <w:r w:rsidRPr="00954F51">
        <w:rPr>
          <w:rFonts w:hint="eastAsia"/>
          <w:color w:val="FF0000"/>
          <w:sz w:val="24"/>
          <w:szCs w:val="24"/>
        </w:rPr>
        <w:lastRenderedPageBreak/>
        <w:t>安倍政権の「地方創生」は、地方の創生ではなくて地方の切り捨て</w:t>
      </w:r>
    </w:p>
    <w:p w:rsidR="000E1009" w:rsidRDefault="000E1009" w:rsidP="00647AF3">
      <w:r>
        <w:rPr>
          <w:rFonts w:hint="eastAsia"/>
        </w:rPr>
        <w:t xml:space="preserve">　</w:t>
      </w:r>
    </w:p>
    <w:p w:rsidR="000E1009" w:rsidRDefault="000E1009" w:rsidP="00647AF3">
      <w:pPr>
        <w:ind w:firstLineChars="100" w:firstLine="210"/>
      </w:pPr>
      <w:r>
        <w:rPr>
          <w:rFonts w:hint="eastAsia"/>
        </w:rPr>
        <w:t>安倍政権は地方創生法（まち・ひと・仕事創生法）を先の国会の成果として売り込んでいるが、その実態は、最初から賞味期限切れの政策である。歴代自民党政権が進めてきた「ふるさと創生」事業などの過疎対策や地域活性化対策の衣替えに過ぎないからだ。そもそも、東京一極集中、地方衰退を招いたのは自民党政権の責任であり、市町村合併や三位一体改革は地方の衰退を加速させた。</w:t>
      </w:r>
    </w:p>
    <w:p w:rsidR="000E1009" w:rsidRDefault="000E1009" w:rsidP="00647AF3">
      <w:r>
        <w:rPr>
          <w:rFonts w:hint="eastAsia"/>
        </w:rPr>
        <w:t xml:space="preserve">　安倍政権の地方創生では、市町村の総合戦略は、国や都道府県の総合戦略を勘案しなければならず、財源や制度の保障もないまま地方の努力を強調している。同時に、地域の状況の違いを無視して共通の指標による成果を求めている。それは、国による市町村への関与を強化するもので、これまでの地方分権の流れに大きく逆行している。</w:t>
      </w:r>
    </w:p>
    <w:p w:rsidR="000E1009" w:rsidRDefault="000E1009" w:rsidP="00647AF3">
      <w:r>
        <w:rPr>
          <w:rFonts w:hint="eastAsia"/>
        </w:rPr>
        <w:t xml:space="preserve">　民主党政権は地方交付税を大幅に増額したのに対して、安倍政権は地方交付税を大幅に減らし、地方が使い道を決められる一括交付金も廃止した。民主党の「地域主権」では、その地域に住む人々が主役であったが、安倍政権の「地方創生」の主役は国というしかない。自己責任を強調し、コンパクトシティという名のもとに条件不利地域を切り捨てようとしている。これでは地方の未来はない。今求められているのは、条件不利地域においても暮らしを支え合える生活保障システムと、地域の主体性や創造性が発揮できるような制度と財源の保障である。</w:t>
      </w:r>
    </w:p>
    <w:p w:rsidR="000E1009" w:rsidRDefault="000E1009" w:rsidP="00647AF3"/>
    <w:p w:rsidR="000E1009" w:rsidRDefault="000E1009" w:rsidP="00647AF3"/>
    <w:p w:rsidR="000E1009" w:rsidRPr="00647AF3" w:rsidRDefault="000E1009" w:rsidP="00647AF3">
      <w:r w:rsidRPr="005674A0">
        <w:rPr>
          <w:rFonts w:ascii="ＭＳ Ｐゴシック" w:eastAsia="ＭＳ Ｐゴシック" w:hAnsi="ＭＳ Ｐゴシック" w:hint="eastAsia"/>
          <w:sz w:val="20"/>
          <w:szCs w:val="20"/>
        </w:rPr>
        <w:t>地方交付税総額（当初）の推移（H12～H26年）</w:t>
      </w:r>
    </w:p>
    <w:p w:rsidR="000E1009" w:rsidRDefault="000E1009" w:rsidP="00647AF3">
      <w:pPr>
        <w:rPr>
          <w:sz w:val="16"/>
          <w:szCs w:val="16"/>
        </w:rPr>
      </w:pPr>
      <w:r>
        <w:rPr>
          <w:noProof/>
        </w:rPr>
        <w:drawing>
          <wp:inline distT="0" distB="0" distL="0" distR="0" wp14:anchorId="67EB1F12" wp14:editId="4213DF30">
            <wp:extent cx="5395783" cy="3390900"/>
            <wp:effectExtent l="19050" t="0" r="0" b="0"/>
            <wp:docPr id="7" name="図 0" descr="地方交付税の推移.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地方交付税の推移.JPG"/>
                    <pic:cNvPicPr/>
                  </pic:nvPicPr>
                  <pic:blipFill>
                    <a:blip r:embed="rId26" cstate="print"/>
                    <a:stretch>
                      <a:fillRect/>
                    </a:stretch>
                  </pic:blipFill>
                  <pic:spPr>
                    <a:xfrm>
                      <a:off x="0" y="0"/>
                      <a:ext cx="5400040" cy="3393575"/>
                    </a:xfrm>
                    <a:prstGeom prst="rect">
                      <a:avLst/>
                    </a:prstGeom>
                  </pic:spPr>
                </pic:pic>
              </a:graphicData>
            </a:graphic>
          </wp:inline>
        </w:drawing>
      </w:r>
    </w:p>
    <w:p w:rsidR="000E1009" w:rsidRDefault="000E1009" w:rsidP="00647AF3">
      <w:pPr>
        <w:rPr>
          <w:rFonts w:asciiTheme="majorEastAsia" w:eastAsiaTheme="majorEastAsia" w:hAnsiTheme="majorEastAsia"/>
          <w:sz w:val="16"/>
          <w:szCs w:val="16"/>
        </w:rPr>
      </w:pPr>
      <w:r w:rsidRPr="005674A0">
        <w:rPr>
          <w:rFonts w:asciiTheme="majorEastAsia" w:eastAsiaTheme="majorEastAsia" w:hAnsiTheme="majorEastAsia"/>
          <w:sz w:val="16"/>
          <w:szCs w:val="16"/>
        </w:rPr>
        <w:t>出典：総務省HP「地方財政制度」</w:t>
      </w:r>
    </w:p>
    <w:p w:rsidR="000E1009" w:rsidRDefault="000E1009">
      <w:pPr>
        <w:widowControl/>
        <w:jc w:val="left"/>
        <w:rPr>
          <w:rFonts w:asciiTheme="majorEastAsia" w:eastAsiaTheme="majorEastAsia" w:hAnsiTheme="majorEastAsia"/>
          <w:sz w:val="16"/>
          <w:szCs w:val="16"/>
        </w:rPr>
      </w:pPr>
      <w:r>
        <w:rPr>
          <w:rFonts w:asciiTheme="majorEastAsia" w:eastAsiaTheme="majorEastAsia" w:hAnsiTheme="majorEastAsia"/>
          <w:sz w:val="16"/>
          <w:szCs w:val="16"/>
        </w:rPr>
        <w:br w:type="page"/>
      </w:r>
    </w:p>
    <w:p w:rsidR="000E1009" w:rsidRPr="00954F51" w:rsidRDefault="000E1009" w:rsidP="00647AF3">
      <w:pPr>
        <w:pBdr>
          <w:top w:val="double" w:sz="12" w:space="1" w:color="FF0000"/>
          <w:left w:val="double" w:sz="12" w:space="4" w:color="FF0000"/>
          <w:bottom w:val="double" w:sz="12" w:space="1" w:color="FF0000"/>
          <w:right w:val="double" w:sz="12" w:space="4" w:color="FF0000"/>
        </w:pBdr>
        <w:rPr>
          <w:color w:val="FF0000"/>
          <w:sz w:val="24"/>
          <w:szCs w:val="24"/>
        </w:rPr>
      </w:pPr>
      <w:r w:rsidRPr="00954F51">
        <w:rPr>
          <w:rFonts w:hint="eastAsia"/>
          <w:color w:val="FF0000"/>
          <w:sz w:val="24"/>
          <w:szCs w:val="24"/>
        </w:rPr>
        <w:lastRenderedPageBreak/>
        <w:t>アベノミクスは地域の賃金を低下させ、鉱工業生産を停滞させた（新潟県）</w:t>
      </w:r>
    </w:p>
    <w:p w:rsidR="000E1009" w:rsidRPr="00954F51" w:rsidRDefault="000E1009" w:rsidP="00647AF3"/>
    <w:p w:rsidR="000E1009" w:rsidRDefault="000E1009" w:rsidP="00647AF3">
      <w:r>
        <w:rPr>
          <w:rFonts w:hint="eastAsia"/>
        </w:rPr>
        <w:t>新潟県の実質賃金指数（対前年同月の増減率）</w:t>
      </w:r>
    </w:p>
    <w:p w:rsidR="000E1009" w:rsidRDefault="000E1009" w:rsidP="00647AF3">
      <w:r>
        <w:rPr>
          <w:noProof/>
        </w:rPr>
        <w:drawing>
          <wp:anchor distT="0" distB="0" distL="114300" distR="114300" simplePos="0" relativeHeight="251659264" behindDoc="0" locked="0" layoutInCell="1" allowOverlap="1" wp14:anchorId="44F1D843" wp14:editId="0D0265A0">
            <wp:simplePos x="0" y="0"/>
            <wp:positionH relativeFrom="column">
              <wp:align>left</wp:align>
            </wp:positionH>
            <wp:positionV relativeFrom="paragraph">
              <wp:align>top</wp:align>
            </wp:positionV>
            <wp:extent cx="4356100" cy="1828800"/>
            <wp:effectExtent l="0" t="0" r="25400" b="19050"/>
            <wp:wrapSquare wrapText="bothSides"/>
            <wp:docPr id="8" name="グラフ 8"/>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14:sizeRelH relativeFrom="margin">
              <wp14:pctWidth>0</wp14:pctWidth>
            </wp14:sizeRelH>
            <wp14:sizeRelV relativeFrom="margin">
              <wp14:pctHeight>0</wp14:pctHeight>
            </wp14:sizeRelV>
          </wp:anchor>
        </w:drawing>
      </w:r>
    </w:p>
    <w:p w:rsidR="000E1009" w:rsidRDefault="000E1009" w:rsidP="00647AF3"/>
    <w:p w:rsidR="000E1009" w:rsidRDefault="000E1009" w:rsidP="00647AF3"/>
    <w:p w:rsidR="000E1009" w:rsidRDefault="000E1009" w:rsidP="00647AF3">
      <w:r>
        <w:br w:type="textWrapping" w:clear="all"/>
      </w:r>
      <w:r>
        <w:rPr>
          <w:rFonts w:hint="eastAsia"/>
        </w:rPr>
        <w:t>出所：新潟県</w:t>
      </w:r>
      <w:r>
        <w:rPr>
          <w:rFonts w:hint="eastAsia"/>
        </w:rPr>
        <w:t>HP</w:t>
      </w:r>
      <w:r>
        <w:rPr>
          <w:rFonts w:hint="eastAsia"/>
        </w:rPr>
        <w:t>の毎月勤労統計</w:t>
      </w:r>
    </w:p>
    <w:p w:rsidR="000E1009" w:rsidRDefault="000E1009" w:rsidP="00647AF3"/>
    <w:p w:rsidR="000E1009" w:rsidRDefault="000E1009" w:rsidP="00647AF3">
      <w:r>
        <w:rPr>
          <w:rFonts w:hint="eastAsia"/>
        </w:rPr>
        <w:t>新潟県と全国の実質賃金指数（対前年同月の増減率）</w:t>
      </w:r>
    </w:p>
    <w:p w:rsidR="000E1009" w:rsidRDefault="000E1009" w:rsidP="00647AF3">
      <w:r>
        <w:rPr>
          <w:noProof/>
        </w:rPr>
        <w:drawing>
          <wp:inline distT="0" distB="0" distL="0" distR="0" wp14:anchorId="30015217" wp14:editId="3DB70137">
            <wp:extent cx="5399069" cy="1946953"/>
            <wp:effectExtent l="0" t="0" r="11430" b="15240"/>
            <wp:docPr id="9" name="グラフ 9"/>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rsidR="000E1009" w:rsidRDefault="000E1009" w:rsidP="00647AF3">
      <w:r>
        <w:rPr>
          <w:rFonts w:hint="eastAsia"/>
        </w:rPr>
        <w:t>出所：毎月勤労統計の全国結果と新潟県結果</w:t>
      </w:r>
    </w:p>
    <w:p w:rsidR="000E1009" w:rsidRDefault="000E1009" w:rsidP="00647AF3"/>
    <w:p w:rsidR="000E1009" w:rsidRDefault="000E1009" w:rsidP="00647AF3">
      <w:r>
        <w:rPr>
          <w:rFonts w:hint="eastAsia"/>
        </w:rPr>
        <w:t>新潟県と全国の鉱工業生産指数</w:t>
      </w:r>
    </w:p>
    <w:p w:rsidR="000E1009" w:rsidRDefault="000E1009" w:rsidP="00647AF3">
      <w:r>
        <w:rPr>
          <w:noProof/>
        </w:rPr>
        <w:drawing>
          <wp:inline distT="0" distB="0" distL="0" distR="0" wp14:anchorId="30B6720C" wp14:editId="624212BF">
            <wp:extent cx="5244957" cy="2003460"/>
            <wp:effectExtent l="0" t="0" r="13335" b="15875"/>
            <wp:docPr id="10" name="グラフ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rsidR="000E1009" w:rsidRDefault="000E1009" w:rsidP="00647AF3">
      <w:r>
        <w:rPr>
          <w:rFonts w:hint="eastAsia"/>
        </w:rPr>
        <w:t>出所：鉱工業生産指数の全国結果と新潟県結果</w:t>
      </w:r>
    </w:p>
    <w:p w:rsidR="000E1009" w:rsidRDefault="000E1009">
      <w:pPr>
        <w:widowControl/>
        <w:jc w:val="left"/>
      </w:pPr>
      <w:r>
        <w:br w:type="page"/>
      </w:r>
    </w:p>
    <w:p w:rsidR="000E1009" w:rsidRPr="00954F51" w:rsidRDefault="000E1009" w:rsidP="000213E5">
      <w:pPr>
        <w:pBdr>
          <w:top w:val="double" w:sz="12" w:space="1" w:color="FF0000"/>
          <w:left w:val="double" w:sz="12" w:space="4" w:color="FF0000"/>
          <w:bottom w:val="double" w:sz="12" w:space="1" w:color="FF0000"/>
          <w:right w:val="double" w:sz="12" w:space="4" w:color="FF0000"/>
        </w:pBdr>
        <w:rPr>
          <w:color w:val="FF0000"/>
          <w:sz w:val="24"/>
          <w:szCs w:val="24"/>
        </w:rPr>
      </w:pPr>
      <w:r w:rsidRPr="00954F51">
        <w:rPr>
          <w:rFonts w:hint="eastAsia"/>
          <w:color w:val="FF0000"/>
          <w:sz w:val="24"/>
          <w:szCs w:val="24"/>
        </w:rPr>
        <w:lastRenderedPageBreak/>
        <w:t>アベノミクスは全国と地域の賃金を低下させ、鉱工業生産を停滞させた（福岡県）</w:t>
      </w:r>
    </w:p>
    <w:p w:rsidR="000E1009" w:rsidRDefault="000E1009" w:rsidP="000213E5"/>
    <w:p w:rsidR="000E1009" w:rsidRDefault="000E1009" w:rsidP="000213E5">
      <w:r w:rsidRPr="00DC4798">
        <w:object w:dxaOrig="8641" w:dyaOrig="6481">
          <v:shape id="_x0000_i1031" type="#_x0000_t75" style="width:337.5pt;height:200.25pt" o:ole="">
            <v:imagedata r:id="rId11" o:title=""/>
          </v:shape>
          <o:OLEObject Type="Embed" ProgID="Acrobat.Document.11" ShapeID="_x0000_i1031" DrawAspect="Content" ObjectID="_1479281196" r:id="rId30"/>
        </w:object>
      </w:r>
    </w:p>
    <w:p w:rsidR="000E1009" w:rsidRDefault="000E1009" w:rsidP="000213E5"/>
    <w:p w:rsidR="000E1009" w:rsidRDefault="000E1009" w:rsidP="000213E5">
      <w:r>
        <w:rPr>
          <w:rFonts w:hint="eastAsia"/>
        </w:rPr>
        <w:t>福岡県と全国の実質賃金指数（対前年同月の増減率）</w:t>
      </w:r>
    </w:p>
    <w:p w:rsidR="000E1009" w:rsidRDefault="000E1009" w:rsidP="000213E5">
      <w:r>
        <w:rPr>
          <w:noProof/>
        </w:rPr>
        <w:drawing>
          <wp:inline distT="0" distB="0" distL="0" distR="0" wp14:anchorId="26EB7169" wp14:editId="316A8E01">
            <wp:extent cx="4823716" cy="1803114"/>
            <wp:effectExtent l="0" t="0" r="15240" b="26035"/>
            <wp:docPr id="11" name="グラフ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rsidR="000E1009" w:rsidRDefault="000E1009" w:rsidP="000213E5">
      <w:r>
        <w:rPr>
          <w:rFonts w:hint="eastAsia"/>
        </w:rPr>
        <w:t>出所：毎月勤労統計の全国結果と福岡県結果</w:t>
      </w:r>
    </w:p>
    <w:p w:rsidR="000E1009" w:rsidRDefault="000E1009" w:rsidP="000213E5"/>
    <w:p w:rsidR="000E1009" w:rsidRDefault="000E1009" w:rsidP="000213E5">
      <w:r>
        <w:rPr>
          <w:rFonts w:hint="eastAsia"/>
        </w:rPr>
        <w:t>福岡県と全国の鉱工業生産指数</w:t>
      </w:r>
    </w:p>
    <w:p w:rsidR="000E1009" w:rsidRDefault="000E1009" w:rsidP="000213E5">
      <w:r>
        <w:rPr>
          <w:noProof/>
        </w:rPr>
        <w:drawing>
          <wp:inline distT="0" distB="0" distL="0" distR="0" wp14:anchorId="5FD6936E" wp14:editId="45E2BF59">
            <wp:extent cx="5399069" cy="2029146"/>
            <wp:effectExtent l="0" t="0" r="11430" b="9525"/>
            <wp:docPr id="12" name="グラフ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rsidR="000E1009" w:rsidRDefault="000E1009" w:rsidP="000213E5">
      <w:r>
        <w:rPr>
          <w:rFonts w:hint="eastAsia"/>
        </w:rPr>
        <w:t>出所：鉱工業生産指数の全国結果と福岡県結果</w:t>
      </w:r>
    </w:p>
    <w:p w:rsidR="000E1009" w:rsidRDefault="000E1009" w:rsidP="000213E5"/>
    <w:p w:rsidR="000E1009" w:rsidRPr="00954F51" w:rsidRDefault="000E1009" w:rsidP="000213E5">
      <w:pPr>
        <w:pBdr>
          <w:top w:val="double" w:sz="12" w:space="1" w:color="FF0000"/>
          <w:left w:val="double" w:sz="12" w:space="4" w:color="FF0000"/>
          <w:bottom w:val="double" w:sz="12" w:space="1" w:color="FF0000"/>
          <w:right w:val="double" w:sz="12" w:space="4" w:color="FF0000"/>
        </w:pBdr>
        <w:rPr>
          <w:color w:val="FF0000"/>
          <w:sz w:val="24"/>
          <w:szCs w:val="24"/>
        </w:rPr>
      </w:pPr>
      <w:r w:rsidRPr="00954F51">
        <w:rPr>
          <w:rFonts w:hint="eastAsia"/>
          <w:color w:val="FF0000"/>
          <w:sz w:val="24"/>
          <w:szCs w:val="24"/>
        </w:rPr>
        <w:lastRenderedPageBreak/>
        <w:t>安倍政権は消費税増税による税収を、国民の生活不安の解消のために使っていない。アベノミクスは、経済成長にも賃上げにも失敗した。税の使い道で約束を破ったことが失敗の要因だ</w:t>
      </w:r>
    </w:p>
    <w:p w:rsidR="000E1009" w:rsidRDefault="000E1009" w:rsidP="000213E5">
      <w:pPr>
        <w:ind w:firstLineChars="100" w:firstLine="210"/>
      </w:pPr>
    </w:p>
    <w:p w:rsidR="000E1009" w:rsidRDefault="000E1009" w:rsidP="000213E5">
      <w:pPr>
        <w:ind w:firstLineChars="100" w:firstLine="210"/>
      </w:pPr>
      <w:r>
        <w:rPr>
          <w:rFonts w:hint="eastAsia"/>
        </w:rPr>
        <w:t>介護や医療に大きな個人負担がかかる。子どもを安心して預けて働ける保育所が見つからない。こんな生活不安のなかで、景気がよくなるはずがない。三党合意で、消費税は社会保障に全額使い、こうした不安を少しでも軽減することを約束した。しかし、</w:t>
      </w:r>
      <w:r w:rsidR="00954F51">
        <w:rPr>
          <w:rFonts w:hint="eastAsia"/>
        </w:rPr>
        <w:t>4</w:t>
      </w:r>
      <w:r>
        <w:rPr>
          <w:rFonts w:hint="eastAsia"/>
        </w:rPr>
        <w:t>月に増税した安倍政権は約束を破り続けている。消費税率を</w:t>
      </w:r>
      <w:r>
        <w:rPr>
          <w:rFonts w:hint="eastAsia"/>
        </w:rPr>
        <w:t>10</w:t>
      </w:r>
      <w:r>
        <w:rPr>
          <w:rFonts w:hint="eastAsia"/>
        </w:rPr>
        <w:t>％まで引き上げると、税率</w:t>
      </w:r>
      <w:r>
        <w:rPr>
          <w:rFonts w:hint="eastAsia"/>
        </w:rPr>
        <w:t>5%</w:t>
      </w:r>
      <w:r>
        <w:rPr>
          <w:rFonts w:hint="eastAsia"/>
        </w:rPr>
        <w:t>にくらべて</w:t>
      </w:r>
      <w:r>
        <w:rPr>
          <w:rFonts w:hint="eastAsia"/>
        </w:rPr>
        <w:t>14</w:t>
      </w:r>
      <w:r>
        <w:rPr>
          <w:rFonts w:hint="eastAsia"/>
        </w:rPr>
        <w:t>兆円の税収増加が見込まれていた。昨年</w:t>
      </w:r>
      <w:r>
        <w:rPr>
          <w:rFonts w:hint="eastAsia"/>
        </w:rPr>
        <w:t>10</w:t>
      </w:r>
      <w:r>
        <w:rPr>
          <w:rFonts w:hint="eastAsia"/>
        </w:rPr>
        <w:t>月に安倍政権の関係</w:t>
      </w:r>
      <w:r>
        <w:rPr>
          <w:rFonts w:hint="eastAsia"/>
        </w:rPr>
        <w:t>6</w:t>
      </w:r>
      <w:r>
        <w:rPr>
          <w:rFonts w:hint="eastAsia"/>
        </w:rPr>
        <w:t>大臣が確認したのは、消費税のこの増税分</w:t>
      </w:r>
      <w:r w:rsidR="00954F51">
        <w:rPr>
          <w:rFonts w:hint="eastAsia"/>
        </w:rPr>
        <w:t>5</w:t>
      </w:r>
      <w:r>
        <w:rPr>
          <w:rFonts w:hint="eastAsia"/>
        </w:rPr>
        <w:t>％</w:t>
      </w:r>
      <w:r w:rsidR="00954F51">
        <w:rPr>
          <w:rFonts w:hint="eastAsia"/>
        </w:rPr>
        <w:t>14</w:t>
      </w:r>
      <w:r>
        <w:rPr>
          <w:rFonts w:hint="eastAsia"/>
        </w:rPr>
        <w:t>兆円のうち、</w:t>
      </w:r>
      <w:r w:rsidR="00954F51">
        <w:rPr>
          <w:rFonts w:hint="eastAsia"/>
        </w:rPr>
        <w:t>2</w:t>
      </w:r>
      <w:r>
        <w:rPr>
          <w:rFonts w:hint="eastAsia"/>
        </w:rPr>
        <w:t>割にあたる</w:t>
      </w:r>
      <w:r w:rsidR="00954F51">
        <w:rPr>
          <w:rFonts w:hint="eastAsia"/>
        </w:rPr>
        <w:t>2</w:t>
      </w:r>
      <w:r w:rsidR="00954F51">
        <w:rPr>
          <w:rFonts w:hint="eastAsia"/>
        </w:rPr>
        <w:t>・</w:t>
      </w:r>
      <w:r w:rsidR="00954F51">
        <w:rPr>
          <w:rFonts w:hint="eastAsia"/>
        </w:rPr>
        <w:t>8</w:t>
      </w:r>
      <w:r>
        <w:rPr>
          <w:rFonts w:hint="eastAsia"/>
        </w:rPr>
        <w:t>兆円を社会保障の充実に使う、という点だった。</w:t>
      </w:r>
    </w:p>
    <w:p w:rsidR="000E1009" w:rsidRDefault="000E1009" w:rsidP="000213E5">
      <w:pPr>
        <w:ind w:firstLineChars="100" w:firstLine="210"/>
      </w:pPr>
      <w:r>
        <w:rPr>
          <w:rFonts w:hint="eastAsia"/>
        </w:rPr>
        <w:t>ところが、</w:t>
      </w:r>
      <w:r>
        <w:rPr>
          <w:rFonts w:hint="eastAsia"/>
        </w:rPr>
        <w:t>4</w:t>
      </w:r>
      <w:r>
        <w:rPr>
          <w:rFonts w:hint="eastAsia"/>
        </w:rPr>
        <w:t>月から消費税率を</w:t>
      </w:r>
      <w:r>
        <w:rPr>
          <w:rFonts w:hint="eastAsia"/>
        </w:rPr>
        <w:t>8%</w:t>
      </w:r>
      <w:r>
        <w:rPr>
          <w:rFonts w:hint="eastAsia"/>
        </w:rPr>
        <w:t>にあげて、今年度国庫に入ってきたお金は５兆円だが、そのうち社会保障の充実に使われたお金は１割以下の</w:t>
      </w:r>
      <w:r w:rsidR="00954F51">
        <w:rPr>
          <w:rFonts w:hint="eastAsia"/>
        </w:rPr>
        <w:t>4962</w:t>
      </w:r>
      <w:r>
        <w:rPr>
          <w:rFonts w:hint="eastAsia"/>
        </w:rPr>
        <w:t>億円にすぎない。子ども子育てに</w:t>
      </w:r>
      <w:r w:rsidR="00954F51">
        <w:rPr>
          <w:rFonts w:hint="eastAsia"/>
        </w:rPr>
        <w:t>1</w:t>
      </w:r>
      <w:r>
        <w:rPr>
          <w:rFonts w:hint="eastAsia"/>
        </w:rPr>
        <w:t>兆</w:t>
      </w:r>
      <w:r w:rsidR="00954F51">
        <w:rPr>
          <w:rFonts w:hint="eastAsia"/>
        </w:rPr>
        <w:t>1000</w:t>
      </w:r>
      <w:r>
        <w:rPr>
          <w:rFonts w:hint="eastAsia"/>
        </w:rPr>
        <w:t>億を用意すると言いながら、今年子ども子育ての充実に使われたお金は、国と地方併せても</w:t>
      </w:r>
      <w:r w:rsidR="00954F51">
        <w:rPr>
          <w:rFonts w:hint="eastAsia"/>
        </w:rPr>
        <w:t>2900</w:t>
      </w:r>
      <w:r>
        <w:rPr>
          <w:rFonts w:hint="eastAsia"/>
        </w:rPr>
        <w:t>億円にすぎない。</w:t>
      </w:r>
      <w:r w:rsidR="00954F51">
        <w:rPr>
          <w:rFonts w:hint="eastAsia"/>
        </w:rPr>
        <w:t>1</w:t>
      </w:r>
      <w:r>
        <w:rPr>
          <w:rFonts w:hint="eastAsia"/>
        </w:rPr>
        <w:t>歳児保育の職員配置を</w:t>
      </w:r>
      <w:r w:rsidR="00954F51">
        <w:rPr>
          <w:rFonts w:hint="eastAsia"/>
        </w:rPr>
        <w:t>6</w:t>
      </w:r>
      <w:r>
        <w:rPr>
          <w:rFonts w:hint="eastAsia"/>
        </w:rPr>
        <w:t>人に</w:t>
      </w:r>
      <w:r w:rsidR="00954F51">
        <w:rPr>
          <w:rFonts w:hint="eastAsia"/>
        </w:rPr>
        <w:t>1</w:t>
      </w:r>
      <w:r>
        <w:rPr>
          <w:rFonts w:hint="eastAsia"/>
        </w:rPr>
        <w:t>人から</w:t>
      </w:r>
      <w:r w:rsidR="00954F51">
        <w:rPr>
          <w:rFonts w:hint="eastAsia"/>
        </w:rPr>
        <w:t>5</w:t>
      </w:r>
      <w:r>
        <w:rPr>
          <w:rFonts w:hint="eastAsia"/>
        </w:rPr>
        <w:t>人の</w:t>
      </w:r>
      <w:r w:rsidR="00954F51">
        <w:rPr>
          <w:rFonts w:hint="eastAsia"/>
        </w:rPr>
        <w:t>1</w:t>
      </w:r>
      <w:r>
        <w:rPr>
          <w:rFonts w:hint="eastAsia"/>
        </w:rPr>
        <w:t>人にすることも、</w:t>
      </w:r>
      <w:r w:rsidR="00954F51">
        <w:rPr>
          <w:rFonts w:hint="eastAsia"/>
        </w:rPr>
        <w:t>4</w:t>
      </w:r>
      <w:r>
        <w:rPr>
          <w:rFonts w:hint="eastAsia"/>
        </w:rPr>
        <w:t>・</w:t>
      </w:r>
      <w:r w:rsidR="00954F51">
        <w:rPr>
          <w:rFonts w:hint="eastAsia"/>
        </w:rPr>
        <w:t>5</w:t>
      </w:r>
      <w:r>
        <w:rPr>
          <w:rFonts w:hint="eastAsia"/>
        </w:rPr>
        <w:t>歳児の職員配置を</w:t>
      </w:r>
      <w:r w:rsidR="00D5542B">
        <w:rPr>
          <w:rFonts w:hint="eastAsia"/>
        </w:rPr>
        <w:t>30</w:t>
      </w:r>
      <w:r>
        <w:rPr>
          <w:rFonts w:hint="eastAsia"/>
        </w:rPr>
        <w:t>人に</w:t>
      </w:r>
      <w:r w:rsidR="00D5542B">
        <w:rPr>
          <w:rFonts w:hint="eastAsia"/>
        </w:rPr>
        <w:t>1</w:t>
      </w:r>
      <w:r>
        <w:rPr>
          <w:rFonts w:hint="eastAsia"/>
        </w:rPr>
        <w:t>人から</w:t>
      </w:r>
      <w:r w:rsidR="00D5542B">
        <w:rPr>
          <w:rFonts w:hint="eastAsia"/>
        </w:rPr>
        <w:t>25</w:t>
      </w:r>
      <w:r>
        <w:rPr>
          <w:rFonts w:hint="eastAsia"/>
        </w:rPr>
        <w:t>人に</w:t>
      </w:r>
      <w:r w:rsidR="00D5542B">
        <w:rPr>
          <w:rFonts w:hint="eastAsia"/>
        </w:rPr>
        <w:t>1</w:t>
      </w:r>
      <w:r>
        <w:rPr>
          <w:rFonts w:hint="eastAsia"/>
        </w:rPr>
        <w:t>人にするのも、学童保育の職員配置改善も全部棚上げされた。介護や医療には働く人を</w:t>
      </w:r>
      <w:r w:rsidR="00D5542B">
        <w:rPr>
          <w:rFonts w:hint="eastAsia"/>
        </w:rPr>
        <w:t>1</w:t>
      </w:r>
      <w:r>
        <w:rPr>
          <w:rFonts w:hint="eastAsia"/>
        </w:rPr>
        <w:t>・</w:t>
      </w:r>
      <w:r w:rsidR="00D5542B">
        <w:rPr>
          <w:rFonts w:hint="eastAsia"/>
        </w:rPr>
        <w:t>6</w:t>
      </w:r>
      <w:r>
        <w:rPr>
          <w:rFonts w:hint="eastAsia"/>
        </w:rPr>
        <w:t>倍にするはずだった。ところが財務省は介護報酬を</w:t>
      </w:r>
      <w:r w:rsidR="00D5542B">
        <w:rPr>
          <w:rFonts w:hint="eastAsia"/>
        </w:rPr>
        <w:t>6</w:t>
      </w:r>
      <w:r>
        <w:rPr>
          <w:rFonts w:hint="eastAsia"/>
        </w:rPr>
        <w:t>％切り下げると言い出して、これでは介護で働く人がまた辞めてしまう。安倍政権は、</w:t>
      </w:r>
      <w:r w:rsidR="00D5542B">
        <w:rPr>
          <w:rFonts w:hint="eastAsia"/>
        </w:rPr>
        <w:t>1</w:t>
      </w:r>
      <w:r>
        <w:rPr>
          <w:rFonts w:hint="eastAsia"/>
        </w:rPr>
        <w:t>年半延ばして消費税を絶対にあげるという。約束破りの使い方を許さないためにも、総選挙に勝たせてはならない。</w:t>
      </w:r>
    </w:p>
    <w:p w:rsidR="000E1009" w:rsidRDefault="000E1009" w:rsidP="000213E5">
      <w:pPr>
        <w:ind w:firstLineChars="100" w:firstLine="210"/>
      </w:pPr>
      <w:r>
        <w:rPr>
          <w:rFonts w:hint="eastAsia"/>
        </w:rPr>
        <w:t>アベノミクスは物価を吊り上げ、手持ちの金を早く使えとインフレマインドをあおる。タンス預金などの資産を持つ人には有効な脅しかもしれない。だが、毎月の賃金が</w:t>
      </w:r>
      <w:r>
        <w:rPr>
          <w:rFonts w:hint="eastAsia"/>
        </w:rPr>
        <w:t>15</w:t>
      </w:r>
      <w:r>
        <w:rPr>
          <w:rFonts w:hint="eastAsia"/>
        </w:rPr>
        <w:t>か月連続で前年同月を下回る状況では、勤労収入で生活する人は当然に節約する。アベノミクスの失敗は、根深いサイクルになっているのだ。</w:t>
      </w:r>
    </w:p>
    <w:p w:rsidR="000E1009" w:rsidRDefault="000E1009" w:rsidP="000213E5">
      <w:pPr>
        <w:ind w:firstLineChars="100" w:firstLine="210"/>
      </w:pPr>
      <w:r>
        <w:rPr>
          <w:rFonts w:hint="eastAsia"/>
        </w:rPr>
        <w:t>総選挙の費用は</w:t>
      </w:r>
      <w:r w:rsidR="00D5542B">
        <w:rPr>
          <w:rFonts w:hint="eastAsia"/>
        </w:rPr>
        <w:t>700</w:t>
      </w:r>
      <w:r>
        <w:rPr>
          <w:rFonts w:hint="eastAsia"/>
        </w:rPr>
        <w:t>億円。このお金があれば、保育所の</w:t>
      </w:r>
      <w:r w:rsidR="00D5542B">
        <w:rPr>
          <w:rFonts w:hint="eastAsia"/>
        </w:rPr>
        <w:t>3</w:t>
      </w:r>
      <w:r>
        <w:rPr>
          <w:rFonts w:hint="eastAsia"/>
        </w:rPr>
        <w:t>歳児の職員配置を</w:t>
      </w:r>
      <w:r w:rsidR="00D5542B">
        <w:rPr>
          <w:rFonts w:hint="eastAsia"/>
        </w:rPr>
        <w:t>20</w:t>
      </w:r>
      <w:r>
        <w:rPr>
          <w:rFonts w:hint="eastAsia"/>
        </w:rPr>
        <w:t>人に</w:t>
      </w:r>
      <w:r w:rsidR="00D5542B">
        <w:rPr>
          <w:rFonts w:hint="eastAsia"/>
        </w:rPr>
        <w:t>1</w:t>
      </w:r>
      <w:r>
        <w:rPr>
          <w:rFonts w:hint="eastAsia"/>
        </w:rPr>
        <w:t>人から</w:t>
      </w:r>
      <w:r w:rsidR="00D5542B">
        <w:rPr>
          <w:rFonts w:hint="eastAsia"/>
        </w:rPr>
        <w:t>15</w:t>
      </w:r>
      <w:r>
        <w:rPr>
          <w:rFonts w:hint="eastAsia"/>
        </w:rPr>
        <w:t>人に</w:t>
      </w:r>
      <w:r w:rsidR="00D5542B">
        <w:rPr>
          <w:rFonts w:hint="eastAsia"/>
        </w:rPr>
        <w:t>1</w:t>
      </w:r>
      <w:r>
        <w:rPr>
          <w:rFonts w:hint="eastAsia"/>
        </w:rPr>
        <w:t>人にできる。財務省は財政支出を（たった）</w:t>
      </w:r>
      <w:r w:rsidR="00D5542B">
        <w:rPr>
          <w:rFonts w:hint="eastAsia"/>
        </w:rPr>
        <w:t>68</w:t>
      </w:r>
      <w:r>
        <w:rPr>
          <w:rFonts w:hint="eastAsia"/>
        </w:rPr>
        <w:t>億円節約するために、教員を</w:t>
      </w:r>
      <w:r w:rsidR="00D5542B">
        <w:rPr>
          <w:rFonts w:hint="eastAsia"/>
        </w:rPr>
        <w:t>4000</w:t>
      </w:r>
      <w:r>
        <w:rPr>
          <w:rFonts w:hint="eastAsia"/>
        </w:rPr>
        <w:t>人減らして</w:t>
      </w:r>
      <w:r w:rsidR="00D5542B">
        <w:rPr>
          <w:rFonts w:hint="eastAsia"/>
        </w:rPr>
        <w:t>35</w:t>
      </w:r>
      <w:r>
        <w:rPr>
          <w:rFonts w:hint="eastAsia"/>
        </w:rPr>
        <w:t>人学級を止めさせ</w:t>
      </w:r>
      <w:r w:rsidR="00D5542B">
        <w:rPr>
          <w:rFonts w:hint="eastAsia"/>
        </w:rPr>
        <w:t>40</w:t>
      </w:r>
      <w:r>
        <w:rPr>
          <w:rFonts w:hint="eastAsia"/>
        </w:rPr>
        <w:t>人学級を復活させようとしているところなのだ。こんな選挙は理不尽だ。だが、税金を取り戻すためには受けて立たざるを得ない。</w:t>
      </w:r>
    </w:p>
    <w:p w:rsidR="000E1009" w:rsidRDefault="000E1009" w:rsidP="000213E5">
      <w:pPr>
        <w:ind w:firstLineChars="100" w:firstLine="210"/>
      </w:pPr>
    </w:p>
    <w:p w:rsidR="000E1009" w:rsidRDefault="000E1009" w:rsidP="000213E5">
      <w:pPr>
        <w:ind w:firstLineChars="100" w:firstLine="210"/>
      </w:pPr>
    </w:p>
    <w:tbl>
      <w:tblPr>
        <w:tblW w:w="6194" w:type="dxa"/>
        <w:tblCellMar>
          <w:left w:w="0" w:type="dxa"/>
          <w:right w:w="0" w:type="dxa"/>
        </w:tblCellMar>
        <w:tblLook w:val="0420" w:firstRow="1" w:lastRow="0" w:firstColumn="0" w:lastColumn="0" w:noHBand="0" w:noVBand="1"/>
      </w:tblPr>
      <w:tblGrid>
        <w:gridCol w:w="4865"/>
        <w:gridCol w:w="1329"/>
      </w:tblGrid>
      <w:tr w:rsidR="000E1009" w:rsidRPr="00A73BBD" w:rsidTr="00C01E0B">
        <w:trPr>
          <w:trHeight w:val="477"/>
        </w:trPr>
        <w:tc>
          <w:tcPr>
            <w:tcW w:w="4865" w:type="dxa"/>
            <w:tcBorders>
              <w:top w:val="single" w:sz="8" w:space="0" w:color="FFFFFF"/>
              <w:left w:val="single" w:sz="8" w:space="0" w:color="FFFFFF"/>
              <w:bottom w:val="single" w:sz="24" w:space="0" w:color="FFFFFF"/>
              <w:right w:val="single" w:sz="8" w:space="0" w:color="FFFFFF"/>
            </w:tcBorders>
            <w:shd w:val="clear" w:color="auto" w:fill="5B9BD5"/>
            <w:tcMar>
              <w:top w:w="72" w:type="dxa"/>
              <w:left w:w="144" w:type="dxa"/>
              <w:bottom w:w="72" w:type="dxa"/>
              <w:right w:w="144" w:type="dxa"/>
            </w:tcMar>
            <w:hideMark/>
          </w:tcPr>
          <w:p w:rsidR="000E1009" w:rsidRPr="00A73BBD" w:rsidRDefault="000E1009" w:rsidP="00C01E0B">
            <w:pPr>
              <w:widowControl/>
              <w:rPr>
                <w:rFonts w:ascii="Arial" w:eastAsia="ＭＳ Ｐゴシック" w:hAnsi="Arial" w:cs="Arial"/>
                <w:kern w:val="0"/>
                <w:szCs w:val="21"/>
              </w:rPr>
            </w:pPr>
            <w:r w:rsidRPr="00A73BBD">
              <w:rPr>
                <w:rFonts w:ascii="Calibri" w:eastAsia="ＭＳ Ｐゴシック" w:hAnsi="Arial" w:cs="Arial"/>
                <w:b/>
                <w:bCs/>
                <w:color w:val="FFFFFF" w:themeColor="light1"/>
                <w:kern w:val="24"/>
                <w:szCs w:val="21"/>
              </w:rPr>
              <w:t>２０１４年度消費税増収分</w:t>
            </w:r>
          </w:p>
        </w:tc>
        <w:tc>
          <w:tcPr>
            <w:tcW w:w="1329" w:type="dxa"/>
            <w:tcBorders>
              <w:top w:val="single" w:sz="8" w:space="0" w:color="FFFFFF"/>
              <w:left w:val="single" w:sz="8" w:space="0" w:color="FFFFFF"/>
              <w:bottom w:val="single" w:sz="24" w:space="0" w:color="FFFFFF"/>
              <w:right w:val="single" w:sz="8" w:space="0" w:color="FFFFFF"/>
            </w:tcBorders>
            <w:shd w:val="clear" w:color="auto" w:fill="5B9BD5"/>
            <w:tcMar>
              <w:top w:w="72" w:type="dxa"/>
              <w:left w:w="144" w:type="dxa"/>
              <w:bottom w:w="72" w:type="dxa"/>
              <w:right w:w="144" w:type="dxa"/>
            </w:tcMar>
            <w:hideMark/>
          </w:tcPr>
          <w:p w:rsidR="000E1009" w:rsidRPr="00A73BBD" w:rsidRDefault="000E1009" w:rsidP="00C01E0B">
            <w:pPr>
              <w:widowControl/>
              <w:rPr>
                <w:rFonts w:ascii="Arial" w:eastAsia="ＭＳ Ｐゴシック" w:hAnsi="Arial" w:cs="Arial"/>
                <w:kern w:val="0"/>
                <w:szCs w:val="21"/>
              </w:rPr>
            </w:pPr>
            <w:r w:rsidRPr="00A73BBD">
              <w:rPr>
                <w:rFonts w:ascii="Calibri" w:eastAsia="ＭＳ Ｐゴシック" w:hAnsi="Calibri" w:cs="Arial"/>
                <w:b/>
                <w:bCs/>
                <w:color w:val="FFFFFF" w:themeColor="light1"/>
                <w:kern w:val="24"/>
                <w:szCs w:val="21"/>
              </w:rPr>
              <w:t>5</w:t>
            </w:r>
            <w:r w:rsidRPr="00A73BBD">
              <w:rPr>
                <w:rFonts w:ascii="Calibri" w:eastAsia="ＭＳ Ｐゴシック" w:hAnsi="Arial" w:cs="Arial"/>
                <w:b/>
                <w:bCs/>
                <w:color w:val="FFFFFF" w:themeColor="light1"/>
                <w:kern w:val="24"/>
                <w:szCs w:val="21"/>
              </w:rPr>
              <w:t>兆円</w:t>
            </w:r>
          </w:p>
        </w:tc>
      </w:tr>
      <w:tr w:rsidR="000E1009" w:rsidRPr="00A73BBD" w:rsidTr="00C01E0B">
        <w:trPr>
          <w:trHeight w:val="477"/>
        </w:trPr>
        <w:tc>
          <w:tcPr>
            <w:tcW w:w="4865" w:type="dxa"/>
            <w:tcBorders>
              <w:top w:val="single" w:sz="24" w:space="0" w:color="FFFFFF"/>
              <w:left w:val="single" w:sz="8" w:space="0" w:color="FFFFFF"/>
              <w:bottom w:val="single" w:sz="8" w:space="0" w:color="FFFFFF"/>
              <w:right w:val="single" w:sz="8" w:space="0" w:color="FFFFFF"/>
            </w:tcBorders>
            <w:shd w:val="clear" w:color="auto" w:fill="D2DEEF"/>
            <w:tcMar>
              <w:top w:w="72" w:type="dxa"/>
              <w:left w:w="144" w:type="dxa"/>
              <w:bottom w:w="72" w:type="dxa"/>
              <w:right w:w="144" w:type="dxa"/>
            </w:tcMar>
            <w:hideMark/>
          </w:tcPr>
          <w:p w:rsidR="000E1009" w:rsidRPr="00A73BBD" w:rsidRDefault="000E1009" w:rsidP="00C01E0B">
            <w:pPr>
              <w:widowControl/>
              <w:rPr>
                <w:rFonts w:ascii="Arial" w:eastAsia="ＭＳ Ｐゴシック" w:hAnsi="Arial" w:cs="Arial"/>
                <w:kern w:val="0"/>
                <w:szCs w:val="21"/>
              </w:rPr>
            </w:pPr>
            <w:r w:rsidRPr="00A73BBD">
              <w:rPr>
                <w:rFonts w:ascii="Calibri" w:eastAsia="ＭＳ Ｐゴシック" w:hAnsi="Arial" w:cs="Arial"/>
                <w:color w:val="000000" w:themeColor="dark1"/>
                <w:kern w:val="24"/>
                <w:szCs w:val="21"/>
              </w:rPr>
              <w:t>社会保障の充実</w:t>
            </w:r>
          </w:p>
        </w:tc>
        <w:tc>
          <w:tcPr>
            <w:tcW w:w="1329" w:type="dxa"/>
            <w:tcBorders>
              <w:top w:val="single" w:sz="24" w:space="0" w:color="FFFFFF"/>
              <w:left w:val="single" w:sz="8" w:space="0" w:color="FFFFFF"/>
              <w:bottom w:val="single" w:sz="8" w:space="0" w:color="FFFFFF"/>
              <w:right w:val="single" w:sz="8" w:space="0" w:color="FFFFFF"/>
            </w:tcBorders>
            <w:shd w:val="clear" w:color="auto" w:fill="D2DEEF"/>
            <w:tcMar>
              <w:top w:w="72" w:type="dxa"/>
              <w:left w:w="144" w:type="dxa"/>
              <w:bottom w:w="72" w:type="dxa"/>
              <w:right w:w="144" w:type="dxa"/>
            </w:tcMar>
            <w:hideMark/>
          </w:tcPr>
          <w:p w:rsidR="000E1009" w:rsidRPr="00A73BBD" w:rsidRDefault="000E1009" w:rsidP="00C01E0B">
            <w:pPr>
              <w:widowControl/>
              <w:rPr>
                <w:rFonts w:ascii="Arial" w:eastAsia="ＭＳ Ｐゴシック" w:hAnsi="Arial" w:cs="Arial"/>
                <w:kern w:val="0"/>
                <w:szCs w:val="21"/>
              </w:rPr>
            </w:pPr>
            <w:r w:rsidRPr="00A73BBD">
              <w:rPr>
                <w:rFonts w:ascii="Calibri" w:eastAsia="ＭＳ Ｐゴシック" w:hAnsi="Calibri" w:cs="Arial"/>
                <w:color w:val="000000" w:themeColor="dark1"/>
                <w:kern w:val="24"/>
                <w:szCs w:val="21"/>
              </w:rPr>
              <w:t>0.5</w:t>
            </w:r>
            <w:r w:rsidRPr="00A73BBD">
              <w:rPr>
                <w:rFonts w:ascii="Calibri" w:eastAsia="ＭＳ Ｐゴシック" w:hAnsi="Arial" w:cs="Arial"/>
                <w:color w:val="000000" w:themeColor="dark1"/>
                <w:kern w:val="24"/>
                <w:szCs w:val="21"/>
              </w:rPr>
              <w:t>兆円</w:t>
            </w:r>
          </w:p>
        </w:tc>
      </w:tr>
      <w:tr w:rsidR="000E1009" w:rsidRPr="00A73BBD" w:rsidTr="00C01E0B">
        <w:trPr>
          <w:trHeight w:val="477"/>
        </w:trPr>
        <w:tc>
          <w:tcPr>
            <w:tcW w:w="4865" w:type="dxa"/>
            <w:tcBorders>
              <w:top w:val="single" w:sz="8" w:space="0" w:color="FFFFFF"/>
              <w:left w:val="single" w:sz="8" w:space="0" w:color="FFFFFF"/>
              <w:bottom w:val="single" w:sz="8" w:space="0" w:color="FFFFFF"/>
              <w:right w:val="single" w:sz="8" w:space="0" w:color="FFFFFF"/>
            </w:tcBorders>
            <w:shd w:val="clear" w:color="auto" w:fill="EAEFF7"/>
            <w:tcMar>
              <w:top w:w="72" w:type="dxa"/>
              <w:left w:w="144" w:type="dxa"/>
              <w:bottom w:w="72" w:type="dxa"/>
              <w:right w:w="144" w:type="dxa"/>
            </w:tcMar>
            <w:hideMark/>
          </w:tcPr>
          <w:p w:rsidR="000E1009" w:rsidRPr="00A73BBD" w:rsidRDefault="000E1009" w:rsidP="00C01E0B">
            <w:pPr>
              <w:widowControl/>
              <w:rPr>
                <w:rFonts w:ascii="Arial" w:eastAsia="ＭＳ Ｐゴシック" w:hAnsi="Arial" w:cs="Arial"/>
                <w:kern w:val="0"/>
                <w:szCs w:val="21"/>
              </w:rPr>
            </w:pPr>
            <w:r w:rsidRPr="00A73BBD">
              <w:rPr>
                <w:rFonts w:ascii="Calibri" w:eastAsia="ＭＳ Ｐゴシック" w:hAnsi="Arial" w:cs="Arial"/>
                <w:color w:val="000000" w:themeColor="dark1"/>
                <w:kern w:val="24"/>
                <w:szCs w:val="21"/>
              </w:rPr>
              <w:t>基礎年金国庫負担割合２分の１</w:t>
            </w:r>
          </w:p>
        </w:tc>
        <w:tc>
          <w:tcPr>
            <w:tcW w:w="1329" w:type="dxa"/>
            <w:tcBorders>
              <w:top w:val="single" w:sz="8" w:space="0" w:color="FFFFFF"/>
              <w:left w:val="single" w:sz="8" w:space="0" w:color="FFFFFF"/>
              <w:bottom w:val="single" w:sz="8" w:space="0" w:color="FFFFFF"/>
              <w:right w:val="single" w:sz="8" w:space="0" w:color="FFFFFF"/>
            </w:tcBorders>
            <w:shd w:val="clear" w:color="auto" w:fill="EAEFF7"/>
            <w:tcMar>
              <w:top w:w="72" w:type="dxa"/>
              <w:left w:w="144" w:type="dxa"/>
              <w:bottom w:w="72" w:type="dxa"/>
              <w:right w:w="144" w:type="dxa"/>
            </w:tcMar>
            <w:hideMark/>
          </w:tcPr>
          <w:p w:rsidR="000E1009" w:rsidRPr="00A73BBD" w:rsidRDefault="000E1009" w:rsidP="00C01E0B">
            <w:pPr>
              <w:widowControl/>
              <w:rPr>
                <w:rFonts w:ascii="Arial" w:eastAsia="ＭＳ Ｐゴシック" w:hAnsi="Arial" w:cs="Arial"/>
                <w:kern w:val="0"/>
                <w:szCs w:val="21"/>
              </w:rPr>
            </w:pPr>
            <w:r w:rsidRPr="00A73BBD">
              <w:rPr>
                <w:rFonts w:ascii="Calibri" w:eastAsia="ＭＳ Ｐゴシック" w:hAnsi="Calibri" w:cs="Arial"/>
                <w:color w:val="000000" w:themeColor="dark1"/>
                <w:kern w:val="24"/>
                <w:szCs w:val="21"/>
              </w:rPr>
              <w:t>2.95</w:t>
            </w:r>
            <w:r w:rsidRPr="00A73BBD">
              <w:rPr>
                <w:rFonts w:ascii="Calibri" w:eastAsia="ＭＳ Ｐゴシック" w:hAnsi="Arial" w:cs="Arial"/>
                <w:color w:val="000000" w:themeColor="dark1"/>
                <w:kern w:val="24"/>
                <w:szCs w:val="21"/>
              </w:rPr>
              <w:t>兆円</w:t>
            </w:r>
          </w:p>
        </w:tc>
      </w:tr>
      <w:tr w:rsidR="000E1009" w:rsidRPr="00A73BBD" w:rsidTr="00C01E0B">
        <w:trPr>
          <w:trHeight w:val="239"/>
        </w:trPr>
        <w:tc>
          <w:tcPr>
            <w:tcW w:w="4865" w:type="dxa"/>
            <w:tcBorders>
              <w:top w:val="single" w:sz="8" w:space="0" w:color="FFFFFF"/>
              <w:left w:val="single" w:sz="8" w:space="0" w:color="FFFFFF"/>
              <w:bottom w:val="single" w:sz="8" w:space="0" w:color="FFFFFF"/>
              <w:right w:val="single" w:sz="8" w:space="0" w:color="FFFFFF"/>
            </w:tcBorders>
            <w:shd w:val="clear" w:color="auto" w:fill="D2DEEF"/>
            <w:tcMar>
              <w:top w:w="72" w:type="dxa"/>
              <w:left w:w="144" w:type="dxa"/>
              <w:bottom w:w="72" w:type="dxa"/>
              <w:right w:w="144" w:type="dxa"/>
            </w:tcMar>
            <w:hideMark/>
          </w:tcPr>
          <w:p w:rsidR="000E1009" w:rsidRPr="00A73BBD" w:rsidRDefault="000E1009" w:rsidP="00C01E0B">
            <w:pPr>
              <w:widowControl/>
              <w:rPr>
                <w:rFonts w:ascii="Arial" w:eastAsia="ＭＳ Ｐゴシック" w:hAnsi="Arial" w:cs="Arial"/>
                <w:kern w:val="0"/>
                <w:szCs w:val="21"/>
              </w:rPr>
            </w:pPr>
            <w:r w:rsidRPr="00A73BBD">
              <w:rPr>
                <w:rFonts w:ascii="Calibri" w:eastAsia="ＭＳ Ｐゴシック" w:hAnsi="Arial" w:cs="Arial"/>
                <w:color w:val="000000" w:themeColor="dark1"/>
                <w:kern w:val="24"/>
                <w:szCs w:val="21"/>
              </w:rPr>
              <w:t>消費税率引き上げに伴う社会保障４経費の増</w:t>
            </w:r>
          </w:p>
        </w:tc>
        <w:tc>
          <w:tcPr>
            <w:tcW w:w="1329" w:type="dxa"/>
            <w:tcBorders>
              <w:top w:val="single" w:sz="8" w:space="0" w:color="FFFFFF"/>
              <w:left w:val="single" w:sz="8" w:space="0" w:color="FFFFFF"/>
              <w:bottom w:val="single" w:sz="8" w:space="0" w:color="FFFFFF"/>
              <w:right w:val="single" w:sz="8" w:space="0" w:color="FFFFFF"/>
            </w:tcBorders>
            <w:shd w:val="clear" w:color="auto" w:fill="D2DEEF"/>
            <w:tcMar>
              <w:top w:w="72" w:type="dxa"/>
              <w:left w:w="144" w:type="dxa"/>
              <w:bottom w:w="72" w:type="dxa"/>
              <w:right w:w="144" w:type="dxa"/>
            </w:tcMar>
            <w:hideMark/>
          </w:tcPr>
          <w:p w:rsidR="000E1009" w:rsidRPr="00A73BBD" w:rsidRDefault="000E1009" w:rsidP="00C01E0B">
            <w:pPr>
              <w:widowControl/>
              <w:rPr>
                <w:rFonts w:ascii="Arial" w:eastAsia="ＭＳ Ｐゴシック" w:hAnsi="Arial" w:cs="Arial"/>
                <w:kern w:val="0"/>
                <w:szCs w:val="21"/>
              </w:rPr>
            </w:pPr>
            <w:r w:rsidRPr="00A73BBD">
              <w:rPr>
                <w:rFonts w:ascii="Calibri" w:eastAsia="ＭＳ Ｐゴシック" w:hAnsi="Calibri" w:cs="Arial"/>
                <w:color w:val="000000" w:themeColor="dark1"/>
                <w:kern w:val="24"/>
                <w:szCs w:val="21"/>
              </w:rPr>
              <w:t>0.2</w:t>
            </w:r>
            <w:r w:rsidRPr="00A73BBD">
              <w:rPr>
                <w:rFonts w:ascii="Calibri" w:eastAsia="ＭＳ Ｐゴシック" w:hAnsi="Arial" w:cs="Arial"/>
                <w:color w:val="000000" w:themeColor="dark1"/>
                <w:kern w:val="24"/>
                <w:szCs w:val="21"/>
              </w:rPr>
              <w:t>兆円</w:t>
            </w:r>
          </w:p>
        </w:tc>
      </w:tr>
      <w:tr w:rsidR="000E1009" w:rsidRPr="00A73BBD" w:rsidTr="00C01E0B">
        <w:trPr>
          <w:trHeight w:val="239"/>
        </w:trPr>
        <w:tc>
          <w:tcPr>
            <w:tcW w:w="4865" w:type="dxa"/>
            <w:tcBorders>
              <w:top w:val="single" w:sz="8" w:space="0" w:color="FFFFFF"/>
              <w:left w:val="single" w:sz="8" w:space="0" w:color="FFFFFF"/>
              <w:bottom w:val="single" w:sz="8" w:space="0" w:color="FFFFFF"/>
              <w:right w:val="single" w:sz="8" w:space="0" w:color="FFFFFF"/>
            </w:tcBorders>
            <w:shd w:val="clear" w:color="auto" w:fill="EAEFF7"/>
            <w:tcMar>
              <w:top w:w="72" w:type="dxa"/>
              <w:left w:w="144" w:type="dxa"/>
              <w:bottom w:w="72" w:type="dxa"/>
              <w:right w:w="144" w:type="dxa"/>
            </w:tcMar>
            <w:hideMark/>
          </w:tcPr>
          <w:p w:rsidR="000E1009" w:rsidRPr="00A73BBD" w:rsidRDefault="000E1009" w:rsidP="00C01E0B">
            <w:pPr>
              <w:widowControl/>
              <w:rPr>
                <w:rFonts w:ascii="Arial" w:eastAsia="ＭＳ Ｐゴシック" w:hAnsi="Arial" w:cs="Arial"/>
                <w:kern w:val="0"/>
                <w:szCs w:val="21"/>
              </w:rPr>
            </w:pPr>
            <w:r w:rsidRPr="00A73BBD">
              <w:rPr>
                <w:rFonts w:ascii="Calibri" w:eastAsia="ＭＳ Ｐゴシック" w:hAnsi="Arial" w:cs="Arial"/>
                <w:color w:val="000000" w:themeColor="dark1"/>
                <w:kern w:val="24"/>
                <w:szCs w:val="21"/>
              </w:rPr>
              <w:t>後代への負担のつけ回しの軽減</w:t>
            </w:r>
          </w:p>
        </w:tc>
        <w:tc>
          <w:tcPr>
            <w:tcW w:w="1329" w:type="dxa"/>
            <w:tcBorders>
              <w:top w:val="single" w:sz="8" w:space="0" w:color="FFFFFF"/>
              <w:left w:val="single" w:sz="8" w:space="0" w:color="FFFFFF"/>
              <w:bottom w:val="single" w:sz="8" w:space="0" w:color="FFFFFF"/>
              <w:right w:val="single" w:sz="8" w:space="0" w:color="FFFFFF"/>
            </w:tcBorders>
            <w:shd w:val="clear" w:color="auto" w:fill="EAEFF7"/>
            <w:tcMar>
              <w:top w:w="72" w:type="dxa"/>
              <w:left w:w="144" w:type="dxa"/>
              <w:bottom w:w="72" w:type="dxa"/>
              <w:right w:w="144" w:type="dxa"/>
            </w:tcMar>
            <w:hideMark/>
          </w:tcPr>
          <w:p w:rsidR="000E1009" w:rsidRPr="00A73BBD" w:rsidRDefault="000E1009" w:rsidP="00C01E0B">
            <w:pPr>
              <w:widowControl/>
              <w:rPr>
                <w:rFonts w:ascii="Arial" w:eastAsia="ＭＳ Ｐゴシック" w:hAnsi="Arial" w:cs="Arial"/>
                <w:kern w:val="0"/>
                <w:szCs w:val="21"/>
              </w:rPr>
            </w:pPr>
            <w:r w:rsidRPr="00A73BBD">
              <w:rPr>
                <w:rFonts w:ascii="Calibri" w:eastAsia="ＭＳ Ｐゴシック" w:hAnsi="Calibri" w:cs="Arial"/>
                <w:color w:val="000000" w:themeColor="dark1"/>
                <w:kern w:val="24"/>
                <w:szCs w:val="21"/>
              </w:rPr>
              <w:t>1.3</w:t>
            </w:r>
            <w:r w:rsidRPr="00A73BBD">
              <w:rPr>
                <w:rFonts w:ascii="Calibri" w:eastAsia="ＭＳ Ｐゴシック" w:hAnsi="Arial" w:cs="Arial"/>
                <w:color w:val="000000" w:themeColor="dark1"/>
                <w:kern w:val="24"/>
                <w:szCs w:val="21"/>
              </w:rPr>
              <w:t>兆円</w:t>
            </w:r>
          </w:p>
        </w:tc>
      </w:tr>
    </w:tbl>
    <w:p w:rsidR="00730475" w:rsidRDefault="00730475">
      <w:pPr>
        <w:widowControl/>
        <w:jc w:val="left"/>
        <w:rPr>
          <w:b/>
          <w:color w:val="FF0000"/>
          <w:szCs w:val="21"/>
        </w:rPr>
      </w:pPr>
      <w:r>
        <w:rPr>
          <w:b/>
          <w:color w:val="FF0000"/>
          <w:szCs w:val="21"/>
        </w:rPr>
        <w:br w:type="page"/>
      </w:r>
    </w:p>
    <w:p w:rsidR="000E1009" w:rsidRPr="00D5542B" w:rsidRDefault="000E1009" w:rsidP="000213E5">
      <w:pPr>
        <w:pBdr>
          <w:top w:val="double" w:sz="12" w:space="1" w:color="FF0000"/>
          <w:left w:val="double" w:sz="12" w:space="4" w:color="FF0000"/>
          <w:bottom w:val="double" w:sz="12" w:space="1" w:color="FF0000"/>
          <w:right w:val="double" w:sz="12" w:space="4" w:color="FF0000"/>
        </w:pBdr>
        <w:rPr>
          <w:color w:val="FF0000"/>
          <w:sz w:val="24"/>
          <w:szCs w:val="24"/>
        </w:rPr>
      </w:pPr>
      <w:r w:rsidRPr="00D5542B">
        <w:rPr>
          <w:rFonts w:hint="eastAsia"/>
          <w:color w:val="FF0000"/>
          <w:sz w:val="24"/>
          <w:szCs w:val="24"/>
        </w:rPr>
        <w:lastRenderedPageBreak/>
        <w:t>社会保障改革で分厚い中間所得層を回復すれば、災害に対しても強い社会を作れる</w:t>
      </w:r>
    </w:p>
    <w:p w:rsidR="00D5542B" w:rsidRDefault="00D5542B" w:rsidP="000213E5">
      <w:pPr>
        <w:ind w:firstLineChars="100" w:firstLine="210"/>
        <w:rPr>
          <w:rFonts w:asciiTheme="minorEastAsia" w:hAnsiTheme="minorEastAsia"/>
          <w:szCs w:val="21"/>
        </w:rPr>
      </w:pPr>
    </w:p>
    <w:p w:rsidR="000E1009" w:rsidRPr="004A2718" w:rsidRDefault="000E1009" w:rsidP="000213E5">
      <w:pPr>
        <w:ind w:firstLineChars="100" w:firstLine="210"/>
        <w:rPr>
          <w:rFonts w:asciiTheme="minorEastAsia" w:hAnsiTheme="minorEastAsia"/>
          <w:szCs w:val="21"/>
        </w:rPr>
      </w:pPr>
      <w:r w:rsidRPr="004A2718">
        <w:rPr>
          <w:rFonts w:asciiTheme="minorEastAsia" w:hAnsiTheme="minorEastAsia" w:hint="eastAsia"/>
          <w:szCs w:val="21"/>
        </w:rPr>
        <w:t>アベノミクスは、「期待」をあおるだけで、実体経済がついてきていない。金融政策・財政政策にくわえて、公的年金の積立金（GPIF）まで使って株価を吊り上げているが、それだけでは実体経済は回復しない。政権支持の期待も金融市場も期待依存のバブル状態になっている。実体経済を回復するためには、賃金引き上げ、非正規労働者の処遇改善、所得再分配政策、長期的持続可能な社会保障制度の確立が不可欠である。一言で言うと分厚い中間層の回復こそがその鍵である。</w:t>
      </w:r>
    </w:p>
    <w:p w:rsidR="000E1009" w:rsidRPr="004A2718" w:rsidRDefault="000E1009" w:rsidP="000213E5">
      <w:pPr>
        <w:ind w:firstLineChars="100" w:firstLine="210"/>
        <w:rPr>
          <w:rFonts w:asciiTheme="minorEastAsia" w:hAnsiTheme="minorEastAsia"/>
          <w:szCs w:val="21"/>
        </w:rPr>
      </w:pPr>
      <w:r w:rsidRPr="004A2718">
        <w:rPr>
          <w:rFonts w:asciiTheme="minorEastAsia" w:hAnsiTheme="minorEastAsia" w:hint="eastAsia"/>
          <w:szCs w:val="21"/>
        </w:rPr>
        <w:t>所得格差の拡大は世界的な流れであるが、一般信頼度（一般的に他者を信頼できるか）とジニ係数（所得格差指数）の関係から見るように、所得格差の拡大は社会全体の信頼度を引き下げる。一般信頼度が低い社会では、災害に対しても脆弱となる。中間所得層がやせ細ると、社会的、経済的、政治的に不安定になる。社会保障・税制を有効に使い、強力に中間所得層を維持、拡大するような政策が必要である。</w:t>
      </w:r>
    </w:p>
    <w:p w:rsidR="000E1009" w:rsidRPr="004A2718" w:rsidRDefault="000E1009" w:rsidP="000213E5">
      <w:pPr>
        <w:ind w:firstLineChars="100" w:firstLine="210"/>
        <w:rPr>
          <w:rFonts w:asciiTheme="minorEastAsia" w:hAnsiTheme="minorEastAsia"/>
          <w:szCs w:val="21"/>
        </w:rPr>
      </w:pPr>
      <w:r w:rsidRPr="004A2718">
        <w:rPr>
          <w:rFonts w:asciiTheme="minorEastAsia" w:hAnsiTheme="minorEastAsia" w:hint="eastAsia"/>
          <w:szCs w:val="21"/>
        </w:rPr>
        <w:t>安倍政権は、急速な人口減少を避けるために、出生率を1.8まで引き上げることを目指しているが、人口減少の要因を作ったのは、自民党政治にほかならない。90年代以降、人口の多い団塊ジュニア世代が就職し、家族を形成する時期に、非正規労働者を増加させたことが、その後の出生率の低下の大きな原因になっているからだ。出生率の回復ために必要な政策は、１）非正規労働者の処遇改善とともに、２）かりに非正規労働者同士のカップルでも、安心して家族を持てるような十分な家族向け給付（児童手当の拡充、住宅手当の新設）、３）子どもの勉学の意欲をかなえ、努力に報いるような奨学金制度の充実である。返済を所得連動型に改革することは、喫緊の課題である。</w:t>
      </w:r>
    </w:p>
    <w:p w:rsidR="00D5542B" w:rsidRDefault="000E1009" w:rsidP="00730475">
      <w:pPr>
        <w:ind w:firstLineChars="100" w:firstLine="210"/>
        <w:rPr>
          <w:rFonts w:asciiTheme="minorEastAsia" w:hAnsiTheme="minorEastAsia" w:hint="eastAsia"/>
          <w:szCs w:val="21"/>
        </w:rPr>
      </w:pPr>
      <w:r w:rsidRPr="004A2718">
        <w:rPr>
          <w:rFonts w:asciiTheme="minorEastAsia" w:hAnsiTheme="minorEastAsia" w:hint="eastAsia"/>
          <w:szCs w:val="21"/>
        </w:rPr>
        <w:t>高齢期の社会保障制度については、ほころびの出ている年金制度の修復を急がなければならない。マクロ経済スライドを実施するため、基礎年金の給付水準の低下は避けられない。年金世代の貧困が大量に発生することを食い止めるためには、非正規労働者に厚生年金を全面的に適用拡大することが最も有効である。また、今回の消費税率引き上げを見送ったことで、年金生活者給付金の導入も停止しているが、年金生活者給付金は、低年金者の年金水準の下支えとして有効な仕組みである。これらの政策と高所得者の基礎年金部分停止を組み合わせることによって、現行年金制度は民主党の所得比例年金と最低保障年金の組み合わせに接近する。年金制度がその機能を維持するために近視眼的、政治的な打算で必要な改革を先送りすべきではない。</w:t>
      </w:r>
    </w:p>
    <w:p w:rsidR="00730475" w:rsidRDefault="00730475" w:rsidP="00730475">
      <w:pPr>
        <w:ind w:firstLineChars="100" w:firstLine="211"/>
        <w:rPr>
          <w:rFonts w:asciiTheme="minorEastAsia" w:hAnsiTheme="minorEastAsia"/>
          <w:b/>
          <w:szCs w:val="21"/>
        </w:rPr>
      </w:pPr>
    </w:p>
    <w:p w:rsidR="000E1009" w:rsidRDefault="000E1009" w:rsidP="000E1009">
      <w:pPr>
        <w:ind w:firstLineChars="100" w:firstLine="210"/>
        <w:rPr>
          <w:rFonts w:hint="eastAsia"/>
        </w:rPr>
      </w:pPr>
      <w:r>
        <w:rPr>
          <w:noProof/>
        </w:rPr>
        <w:drawing>
          <wp:inline distT="0" distB="0" distL="0" distR="0" wp14:anchorId="6742BF95" wp14:editId="06BCA534">
            <wp:extent cx="5295900" cy="2362200"/>
            <wp:effectExtent l="0" t="0" r="19050" b="19050"/>
            <wp:docPr id="13" name="グラフ 13"/>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rsidR="00730475" w:rsidRDefault="00730475" w:rsidP="000E1009">
      <w:pPr>
        <w:ind w:firstLineChars="100" w:firstLine="210"/>
      </w:pPr>
      <w:r>
        <w:rPr>
          <w:rFonts w:hint="eastAsia"/>
        </w:rPr>
        <w:t xml:space="preserve">　出典：</w:t>
      </w:r>
      <w:r w:rsidRPr="00730475">
        <w:rPr>
          <w:rFonts w:hint="eastAsia"/>
        </w:rPr>
        <w:t>OECD</w:t>
      </w:r>
      <w:r w:rsidRPr="00730475">
        <w:rPr>
          <w:rFonts w:hint="eastAsia"/>
        </w:rPr>
        <w:t>（</w:t>
      </w:r>
      <w:r w:rsidRPr="00730475">
        <w:rPr>
          <w:rFonts w:hint="eastAsia"/>
        </w:rPr>
        <w:t>2014</w:t>
      </w:r>
      <w:r w:rsidRPr="00730475">
        <w:rPr>
          <w:rFonts w:hint="eastAsia"/>
        </w:rPr>
        <w:t>）</w:t>
      </w:r>
      <w:r w:rsidRPr="00730475">
        <w:rPr>
          <w:rFonts w:hint="eastAsia"/>
        </w:rPr>
        <w:t>Society at glance</w:t>
      </w:r>
      <w:r>
        <w:rPr>
          <w:rFonts w:hint="eastAsia"/>
        </w:rPr>
        <w:t xml:space="preserve">　</w:t>
      </w:r>
    </w:p>
    <w:sectPr w:rsidR="00730475" w:rsidSect="000E1009">
      <w:pgSz w:w="11906" w:h="16838"/>
      <w:pgMar w:top="1985" w:right="1701" w:bottom="1701" w:left="1701" w:header="709" w:footer="709" w:gutter="0"/>
      <w:cols w:space="425"/>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E3BFB" w:rsidRDefault="002E3BFB" w:rsidP="002E3BFB">
      <w:r>
        <w:separator/>
      </w:r>
    </w:p>
  </w:endnote>
  <w:endnote w:type="continuationSeparator" w:id="0">
    <w:p w:rsidR="002E3BFB" w:rsidRDefault="002E3BFB" w:rsidP="002E3BF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927427693"/>
      <w:docPartObj>
        <w:docPartGallery w:val="Page Numbers (Bottom of Page)"/>
        <w:docPartUnique/>
      </w:docPartObj>
    </w:sdtPr>
    <w:sdtEndPr/>
    <w:sdtContent>
      <w:p w:rsidR="002E3BFB" w:rsidRDefault="002E3BFB">
        <w:pPr>
          <w:pStyle w:val="a7"/>
          <w:jc w:val="center"/>
        </w:pPr>
        <w:r>
          <w:fldChar w:fldCharType="begin"/>
        </w:r>
        <w:r>
          <w:instrText>PAGE   \* MERGEFORMAT</w:instrText>
        </w:r>
        <w:r>
          <w:fldChar w:fldCharType="separate"/>
        </w:r>
        <w:r w:rsidR="00730475" w:rsidRPr="00730475">
          <w:rPr>
            <w:noProof/>
            <w:lang w:val="ja-JP"/>
          </w:rPr>
          <w:t>7</w:t>
        </w:r>
        <w:r>
          <w:fldChar w:fldCharType="end"/>
        </w:r>
      </w:p>
    </w:sdtContent>
  </w:sdt>
  <w:p w:rsidR="002E3BFB" w:rsidRDefault="002E3BFB">
    <w:pPr>
      <w:pStyle w:val="a7"/>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E3BFB" w:rsidRDefault="002E3BFB" w:rsidP="002E3BFB">
      <w:r>
        <w:separator/>
      </w:r>
    </w:p>
  </w:footnote>
  <w:footnote w:type="continuationSeparator" w:id="0">
    <w:p w:rsidR="002E3BFB" w:rsidRDefault="002E3BFB" w:rsidP="002E3BFB">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proofState w:spelling="clean" w:grammar="dirty"/>
  <w:defaultTabStop w:val="840"/>
  <w:drawingGridHorizontalSpacing w:val="110"/>
  <w:displayHorizontalDrawingGridEvery w:val="2"/>
  <w:displayVerticalDrawingGridEvery w:val="2"/>
  <w:characterSpacingControl w:val="compressPunctuation"/>
  <w:hdrShapeDefaults>
    <o:shapedefaults v:ext="edit" spidmax="6145">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93B43"/>
    <w:rsid w:val="000E1009"/>
    <w:rsid w:val="00277376"/>
    <w:rsid w:val="002E3BFB"/>
    <w:rsid w:val="00537AA2"/>
    <w:rsid w:val="00547E84"/>
    <w:rsid w:val="005A63DD"/>
    <w:rsid w:val="00730475"/>
    <w:rsid w:val="0095054D"/>
    <w:rsid w:val="00954F51"/>
    <w:rsid w:val="009845FA"/>
    <w:rsid w:val="00A15337"/>
    <w:rsid w:val="00BE6530"/>
    <w:rsid w:val="00C93B43"/>
    <w:rsid w:val="00D5542B"/>
    <w:rsid w:val="00E07961"/>
    <w:rsid w:val="00EB59A0"/>
    <w:rsid w:val="00F109F8"/>
    <w:rsid w:val="00FE483E"/>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6145">
      <v:textbox inset="5.85pt,.7pt,5.85pt,.7pt"/>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0E1009"/>
    <w:rPr>
      <w:rFonts w:asciiTheme="majorHAnsi" w:eastAsiaTheme="majorEastAsia" w:hAnsiTheme="majorHAnsi" w:cstheme="majorBidi"/>
      <w:sz w:val="18"/>
      <w:szCs w:val="18"/>
    </w:rPr>
  </w:style>
  <w:style w:type="character" w:customStyle="1" w:styleId="a4">
    <w:name w:val="吹き出し (文字)"/>
    <w:basedOn w:val="a0"/>
    <w:link w:val="a3"/>
    <w:uiPriority w:val="99"/>
    <w:semiHidden/>
    <w:rsid w:val="000E1009"/>
    <w:rPr>
      <w:rFonts w:asciiTheme="majorHAnsi" w:eastAsiaTheme="majorEastAsia" w:hAnsiTheme="majorHAnsi" w:cstheme="majorBidi"/>
      <w:sz w:val="18"/>
      <w:szCs w:val="18"/>
    </w:rPr>
  </w:style>
  <w:style w:type="paragraph" w:styleId="a5">
    <w:name w:val="header"/>
    <w:basedOn w:val="a"/>
    <w:link w:val="a6"/>
    <w:uiPriority w:val="99"/>
    <w:unhideWhenUsed/>
    <w:rsid w:val="002E3BFB"/>
    <w:pPr>
      <w:tabs>
        <w:tab w:val="center" w:pos="4252"/>
        <w:tab w:val="right" w:pos="8504"/>
      </w:tabs>
      <w:snapToGrid w:val="0"/>
    </w:pPr>
  </w:style>
  <w:style w:type="character" w:customStyle="1" w:styleId="a6">
    <w:name w:val="ヘッダー (文字)"/>
    <w:basedOn w:val="a0"/>
    <w:link w:val="a5"/>
    <w:uiPriority w:val="99"/>
    <w:rsid w:val="002E3BFB"/>
  </w:style>
  <w:style w:type="paragraph" w:styleId="a7">
    <w:name w:val="footer"/>
    <w:basedOn w:val="a"/>
    <w:link w:val="a8"/>
    <w:uiPriority w:val="99"/>
    <w:unhideWhenUsed/>
    <w:rsid w:val="002E3BFB"/>
    <w:pPr>
      <w:tabs>
        <w:tab w:val="center" w:pos="4252"/>
        <w:tab w:val="right" w:pos="8504"/>
      </w:tabs>
      <w:snapToGrid w:val="0"/>
    </w:pPr>
  </w:style>
  <w:style w:type="character" w:customStyle="1" w:styleId="a8">
    <w:name w:val="フッター (文字)"/>
    <w:basedOn w:val="a0"/>
    <w:link w:val="a7"/>
    <w:uiPriority w:val="99"/>
    <w:rsid w:val="002E3BFB"/>
  </w:style>
  <w:style w:type="paragraph" w:styleId="a9">
    <w:name w:val="No Spacing"/>
    <w:link w:val="aa"/>
    <w:uiPriority w:val="1"/>
    <w:qFormat/>
    <w:rsid w:val="002E3BFB"/>
    <w:rPr>
      <w:kern w:val="0"/>
      <w:sz w:val="22"/>
    </w:rPr>
  </w:style>
  <w:style w:type="character" w:customStyle="1" w:styleId="aa">
    <w:name w:val="行間詰め (文字)"/>
    <w:basedOn w:val="a0"/>
    <w:link w:val="a9"/>
    <w:uiPriority w:val="1"/>
    <w:rsid w:val="002E3BFB"/>
    <w:rPr>
      <w:kern w:val="0"/>
      <w:sz w:val="22"/>
    </w:rPr>
  </w:style>
  <w:style w:type="paragraph" w:styleId="ab">
    <w:name w:val="Date"/>
    <w:basedOn w:val="a"/>
    <w:next w:val="a"/>
    <w:link w:val="ac"/>
    <w:uiPriority w:val="99"/>
    <w:semiHidden/>
    <w:unhideWhenUsed/>
    <w:rsid w:val="00EB59A0"/>
  </w:style>
  <w:style w:type="character" w:customStyle="1" w:styleId="ac">
    <w:name w:val="日付 (文字)"/>
    <w:basedOn w:val="a0"/>
    <w:link w:val="ab"/>
    <w:uiPriority w:val="99"/>
    <w:semiHidden/>
    <w:rsid w:val="00EB59A0"/>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0E1009"/>
    <w:rPr>
      <w:rFonts w:asciiTheme="majorHAnsi" w:eastAsiaTheme="majorEastAsia" w:hAnsiTheme="majorHAnsi" w:cstheme="majorBidi"/>
      <w:sz w:val="18"/>
      <w:szCs w:val="18"/>
    </w:rPr>
  </w:style>
  <w:style w:type="character" w:customStyle="1" w:styleId="a4">
    <w:name w:val="吹き出し (文字)"/>
    <w:basedOn w:val="a0"/>
    <w:link w:val="a3"/>
    <w:uiPriority w:val="99"/>
    <w:semiHidden/>
    <w:rsid w:val="000E1009"/>
    <w:rPr>
      <w:rFonts w:asciiTheme="majorHAnsi" w:eastAsiaTheme="majorEastAsia" w:hAnsiTheme="majorHAnsi" w:cstheme="majorBidi"/>
      <w:sz w:val="18"/>
      <w:szCs w:val="18"/>
    </w:rPr>
  </w:style>
  <w:style w:type="paragraph" w:styleId="a5">
    <w:name w:val="header"/>
    <w:basedOn w:val="a"/>
    <w:link w:val="a6"/>
    <w:uiPriority w:val="99"/>
    <w:unhideWhenUsed/>
    <w:rsid w:val="002E3BFB"/>
    <w:pPr>
      <w:tabs>
        <w:tab w:val="center" w:pos="4252"/>
        <w:tab w:val="right" w:pos="8504"/>
      </w:tabs>
      <w:snapToGrid w:val="0"/>
    </w:pPr>
  </w:style>
  <w:style w:type="character" w:customStyle="1" w:styleId="a6">
    <w:name w:val="ヘッダー (文字)"/>
    <w:basedOn w:val="a0"/>
    <w:link w:val="a5"/>
    <w:uiPriority w:val="99"/>
    <w:rsid w:val="002E3BFB"/>
  </w:style>
  <w:style w:type="paragraph" w:styleId="a7">
    <w:name w:val="footer"/>
    <w:basedOn w:val="a"/>
    <w:link w:val="a8"/>
    <w:uiPriority w:val="99"/>
    <w:unhideWhenUsed/>
    <w:rsid w:val="002E3BFB"/>
    <w:pPr>
      <w:tabs>
        <w:tab w:val="center" w:pos="4252"/>
        <w:tab w:val="right" w:pos="8504"/>
      </w:tabs>
      <w:snapToGrid w:val="0"/>
    </w:pPr>
  </w:style>
  <w:style w:type="character" w:customStyle="1" w:styleId="a8">
    <w:name w:val="フッター (文字)"/>
    <w:basedOn w:val="a0"/>
    <w:link w:val="a7"/>
    <w:uiPriority w:val="99"/>
    <w:rsid w:val="002E3BFB"/>
  </w:style>
  <w:style w:type="paragraph" w:styleId="a9">
    <w:name w:val="No Spacing"/>
    <w:link w:val="aa"/>
    <w:uiPriority w:val="1"/>
    <w:qFormat/>
    <w:rsid w:val="002E3BFB"/>
    <w:rPr>
      <w:kern w:val="0"/>
      <w:sz w:val="22"/>
    </w:rPr>
  </w:style>
  <w:style w:type="character" w:customStyle="1" w:styleId="aa">
    <w:name w:val="行間詰め (文字)"/>
    <w:basedOn w:val="a0"/>
    <w:link w:val="a9"/>
    <w:uiPriority w:val="1"/>
    <w:rsid w:val="002E3BFB"/>
    <w:rPr>
      <w:kern w:val="0"/>
      <w:sz w:val="22"/>
    </w:rPr>
  </w:style>
  <w:style w:type="paragraph" w:styleId="ab">
    <w:name w:val="Date"/>
    <w:basedOn w:val="a"/>
    <w:next w:val="a"/>
    <w:link w:val="ac"/>
    <w:uiPriority w:val="99"/>
    <w:semiHidden/>
    <w:unhideWhenUsed/>
    <w:rsid w:val="00EB59A0"/>
  </w:style>
  <w:style w:type="character" w:customStyle="1" w:styleId="ac">
    <w:name w:val="日付 (文字)"/>
    <w:basedOn w:val="a0"/>
    <w:link w:val="ab"/>
    <w:uiPriority w:val="99"/>
    <w:semiHidden/>
    <w:rsid w:val="00EB59A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5.emf"/><Relationship Id="rId18" Type="http://schemas.openxmlformats.org/officeDocument/2006/relationships/image" Target="media/image8.emf"/><Relationship Id="rId26" Type="http://schemas.openxmlformats.org/officeDocument/2006/relationships/image" Target="media/image13.jpeg"/><Relationship Id="rId3" Type="http://schemas.openxmlformats.org/officeDocument/2006/relationships/settings" Target="settings.xml"/><Relationship Id="rId21" Type="http://schemas.openxmlformats.org/officeDocument/2006/relationships/oleObject" Target="embeddings/oleObject6.bin"/><Relationship Id="rId34" Type="http://schemas.openxmlformats.org/officeDocument/2006/relationships/fontTable" Target="fontTable.xml"/><Relationship Id="rId7" Type="http://schemas.openxmlformats.org/officeDocument/2006/relationships/image" Target="media/image1.JPG"/><Relationship Id="rId12" Type="http://schemas.openxmlformats.org/officeDocument/2006/relationships/oleObject" Target="embeddings/oleObject2.bin"/><Relationship Id="rId17" Type="http://schemas.openxmlformats.org/officeDocument/2006/relationships/image" Target="media/image7.png"/><Relationship Id="rId25" Type="http://schemas.openxmlformats.org/officeDocument/2006/relationships/image" Target="media/image12.emf"/><Relationship Id="rId33" Type="http://schemas.openxmlformats.org/officeDocument/2006/relationships/chart" Target="charts/chart6.xml"/><Relationship Id="rId2" Type="http://schemas.microsoft.com/office/2007/relationships/stylesWithEffects" Target="stylesWithEffects.xml"/><Relationship Id="rId16" Type="http://schemas.openxmlformats.org/officeDocument/2006/relationships/oleObject" Target="embeddings/oleObject4.bin"/><Relationship Id="rId20" Type="http://schemas.openxmlformats.org/officeDocument/2006/relationships/image" Target="media/image9.emf"/><Relationship Id="rId29" Type="http://schemas.openxmlformats.org/officeDocument/2006/relationships/chart" Target="charts/chart3.xml"/><Relationship Id="rId1" Type="http://schemas.openxmlformats.org/officeDocument/2006/relationships/styles" Target="styles.xml"/><Relationship Id="rId6" Type="http://schemas.openxmlformats.org/officeDocument/2006/relationships/endnotes" Target="endnotes.xml"/><Relationship Id="rId11" Type="http://schemas.openxmlformats.org/officeDocument/2006/relationships/image" Target="media/image4.emf"/><Relationship Id="rId24" Type="http://schemas.openxmlformats.org/officeDocument/2006/relationships/image" Target="media/image11.png"/><Relationship Id="rId32" Type="http://schemas.openxmlformats.org/officeDocument/2006/relationships/chart" Target="charts/chart5.xml"/><Relationship Id="rId5" Type="http://schemas.openxmlformats.org/officeDocument/2006/relationships/footnotes" Target="footnotes.xml"/><Relationship Id="rId15" Type="http://schemas.openxmlformats.org/officeDocument/2006/relationships/image" Target="media/image6.emf"/><Relationship Id="rId23" Type="http://schemas.openxmlformats.org/officeDocument/2006/relationships/image" Target="media/image10.emf"/><Relationship Id="rId28" Type="http://schemas.openxmlformats.org/officeDocument/2006/relationships/chart" Target="charts/chart2.xml"/><Relationship Id="rId10" Type="http://schemas.openxmlformats.org/officeDocument/2006/relationships/oleObject" Target="embeddings/oleObject1.bin"/><Relationship Id="rId19" Type="http://schemas.openxmlformats.org/officeDocument/2006/relationships/oleObject" Target="embeddings/oleObject5.bin"/><Relationship Id="rId31" Type="http://schemas.openxmlformats.org/officeDocument/2006/relationships/chart" Target="charts/chart4.xml"/><Relationship Id="rId4" Type="http://schemas.openxmlformats.org/officeDocument/2006/relationships/webSettings" Target="webSettings.xml"/><Relationship Id="rId9" Type="http://schemas.openxmlformats.org/officeDocument/2006/relationships/image" Target="media/image3.emf"/><Relationship Id="rId14" Type="http://schemas.openxmlformats.org/officeDocument/2006/relationships/oleObject" Target="embeddings/oleObject3.bin"/><Relationship Id="rId22" Type="http://schemas.openxmlformats.org/officeDocument/2006/relationships/footer" Target="footer1.xml"/><Relationship Id="rId27" Type="http://schemas.openxmlformats.org/officeDocument/2006/relationships/chart" Target="charts/chart1.xml"/><Relationship Id="rId30" Type="http://schemas.openxmlformats.org/officeDocument/2006/relationships/oleObject" Target="embeddings/oleObject7.bin"/><Relationship Id="rId35" Type="http://schemas.openxmlformats.org/officeDocument/2006/relationships/theme" Target="theme/theme1.xml"/></Relationships>
</file>

<file path=word/charts/_rels/chart1.xml.rels><?xml version="1.0" encoding="UTF-8" standalone="yes"?>
<Relationships xmlns="http://schemas.openxmlformats.org/package/2006/relationships"><Relationship Id="rId2" Type="http://schemas.openxmlformats.org/officeDocument/2006/relationships/oleObject" Target="file:///C:\Users\GCOE\Documents\2013&#22522;&#30436;A\&#12450;&#12505;&#12494;&#12511;&#12463;&#12473;\&#26032;&#28511;&#30476;&#12398;&#23455;&#36074;&#36035;&#37329;&#25351;&#25968;&#12288;&#12464;&#12521;&#12501;.xlsx" TargetMode="External"/><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oleObject" Target="file:///C:\Users\GCOE\Documents\2013&#22522;&#30436;A\&#12450;&#12505;&#12494;&#12511;&#12463;&#12473;\&#26032;&#28511;&#30476;&#12398;&#23455;&#36074;&#36035;&#37329;&#25351;&#25968;&#12288;&#12464;&#12521;&#12501;.xlsx" TargetMode="External"/><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2" Type="http://schemas.openxmlformats.org/officeDocument/2006/relationships/oleObject" Target="file:///C:\Users\GCOE\Documents\2013&#22522;&#30436;A\&#12450;&#12505;&#12494;&#12511;&#12463;&#12473;\&#26032;&#28511;&#30476;&#12398;&#23455;&#36074;&#36035;&#37329;&#25351;&#25968;&#12288;&#12464;&#12521;&#12501;.xlsx" TargetMode="External"/><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2" Type="http://schemas.openxmlformats.org/officeDocument/2006/relationships/oleObject" Target="file:///C:\Users\GCOE\Documents\2013&#22522;&#30436;A\&#12450;&#12505;&#12494;&#12511;&#12463;&#12473;\&#23470;&#22478;&#30476;&#12398;&#23455;&#36074;&#36035;&#37329;&#25351;&#25968;.xlsx" TargetMode="External"/><Relationship Id="rId1" Type="http://schemas.openxmlformats.org/officeDocument/2006/relationships/themeOverride" Target="../theme/themeOverride4.xml"/></Relationships>
</file>

<file path=word/charts/_rels/chart5.xml.rels><?xml version="1.0" encoding="UTF-8" standalone="yes"?>
<Relationships xmlns="http://schemas.openxmlformats.org/package/2006/relationships"><Relationship Id="rId2" Type="http://schemas.openxmlformats.org/officeDocument/2006/relationships/oleObject" Target="file:///C:\Users\GCOE\Documents\2013&#22522;&#30436;A\&#12450;&#12505;&#12494;&#12511;&#12463;&#12473;\&#23470;&#22478;&#30476;&#12398;&#23455;&#36074;&#36035;&#37329;&#25351;&#25968;.xlsx" TargetMode="External"/><Relationship Id="rId1" Type="http://schemas.openxmlformats.org/officeDocument/2006/relationships/themeOverride" Target="../theme/themeOverride5.xml"/></Relationships>
</file>

<file path=word/charts/_rels/chart6.xml.rels><?xml version="1.0" encoding="UTF-8" standalone="yes"?>
<Relationships xmlns="http://schemas.openxmlformats.org/package/2006/relationships"><Relationship Id="rId3" Type="http://schemas.openxmlformats.org/officeDocument/2006/relationships/chartUserShapes" Target="../drawings/drawing1.xml"/><Relationship Id="rId2" Type="http://schemas.openxmlformats.org/officeDocument/2006/relationships/package" Target="../embeddings/Microsoft_Office_Excel_______1.xlsx"/><Relationship Id="rId1" Type="http://schemas.openxmlformats.org/officeDocument/2006/relationships/themeOverride" Target="../theme/themeOverride6.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ja-JP"/>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col"/>
        <c:grouping val="clustered"/>
        <c:varyColors val="0"/>
        <c:ser>
          <c:idx val="0"/>
          <c:order val="0"/>
          <c:tx>
            <c:strRef>
              <c:f>Sheet1!$C$21</c:f>
              <c:strCache>
                <c:ptCount val="1"/>
                <c:pt idx="0">
                  <c:v>1月</c:v>
                </c:pt>
              </c:strCache>
            </c:strRef>
          </c:tx>
          <c:invertIfNegative val="0"/>
          <c:cat>
            <c:numRef>
              <c:f>Sheet1!$B$22:$B$28</c:f>
              <c:numCache>
                <c:formatCode>General</c:formatCode>
                <c:ptCount val="7"/>
                <c:pt idx="0">
                  <c:v>2008</c:v>
                </c:pt>
                <c:pt idx="1">
                  <c:v>2009</c:v>
                </c:pt>
                <c:pt idx="2">
                  <c:v>2010</c:v>
                </c:pt>
                <c:pt idx="3">
                  <c:v>2011</c:v>
                </c:pt>
                <c:pt idx="4">
                  <c:v>2012</c:v>
                </c:pt>
                <c:pt idx="5">
                  <c:v>2013</c:v>
                </c:pt>
                <c:pt idx="6">
                  <c:v>2014</c:v>
                </c:pt>
              </c:numCache>
            </c:numRef>
          </c:cat>
          <c:val>
            <c:numRef>
              <c:f>Sheet1!$C$22:$C$28</c:f>
              <c:numCache>
                <c:formatCode>General</c:formatCode>
                <c:ptCount val="7"/>
                <c:pt idx="0">
                  <c:v>7</c:v>
                </c:pt>
                <c:pt idx="1">
                  <c:v>-6.8</c:v>
                </c:pt>
                <c:pt idx="2">
                  <c:v>-3.9</c:v>
                </c:pt>
                <c:pt idx="3">
                  <c:v>4</c:v>
                </c:pt>
                <c:pt idx="4">
                  <c:v>-1</c:v>
                </c:pt>
                <c:pt idx="5">
                  <c:v>-2.2000000000000002</c:v>
                </c:pt>
                <c:pt idx="6">
                  <c:v>-1.6</c:v>
                </c:pt>
              </c:numCache>
            </c:numRef>
          </c:val>
        </c:ser>
        <c:ser>
          <c:idx val="1"/>
          <c:order val="1"/>
          <c:tx>
            <c:strRef>
              <c:f>Sheet1!$D$21</c:f>
              <c:strCache>
                <c:ptCount val="1"/>
                <c:pt idx="0">
                  <c:v>2月</c:v>
                </c:pt>
              </c:strCache>
            </c:strRef>
          </c:tx>
          <c:invertIfNegative val="0"/>
          <c:cat>
            <c:numRef>
              <c:f>Sheet1!$B$22:$B$28</c:f>
              <c:numCache>
                <c:formatCode>General</c:formatCode>
                <c:ptCount val="7"/>
                <c:pt idx="0">
                  <c:v>2008</c:v>
                </c:pt>
                <c:pt idx="1">
                  <c:v>2009</c:v>
                </c:pt>
                <c:pt idx="2">
                  <c:v>2010</c:v>
                </c:pt>
                <c:pt idx="3">
                  <c:v>2011</c:v>
                </c:pt>
                <c:pt idx="4">
                  <c:v>2012</c:v>
                </c:pt>
                <c:pt idx="5">
                  <c:v>2013</c:v>
                </c:pt>
                <c:pt idx="6">
                  <c:v>2014</c:v>
                </c:pt>
              </c:numCache>
            </c:numRef>
          </c:cat>
          <c:val>
            <c:numRef>
              <c:f>Sheet1!$D$22:$D$28</c:f>
              <c:numCache>
                <c:formatCode>General</c:formatCode>
                <c:ptCount val="7"/>
                <c:pt idx="0">
                  <c:v>2.9</c:v>
                </c:pt>
                <c:pt idx="1">
                  <c:v>-5</c:v>
                </c:pt>
                <c:pt idx="2">
                  <c:v>-1.2</c:v>
                </c:pt>
                <c:pt idx="3">
                  <c:v>4.5999999999999996</c:v>
                </c:pt>
                <c:pt idx="4">
                  <c:v>0.3</c:v>
                </c:pt>
                <c:pt idx="5">
                  <c:v>-2</c:v>
                </c:pt>
                <c:pt idx="6">
                  <c:v>-0.9</c:v>
                </c:pt>
              </c:numCache>
            </c:numRef>
          </c:val>
        </c:ser>
        <c:ser>
          <c:idx val="2"/>
          <c:order val="2"/>
          <c:tx>
            <c:strRef>
              <c:f>Sheet1!$E$21</c:f>
              <c:strCache>
                <c:ptCount val="1"/>
                <c:pt idx="0">
                  <c:v>3月</c:v>
                </c:pt>
              </c:strCache>
            </c:strRef>
          </c:tx>
          <c:invertIfNegative val="0"/>
          <c:cat>
            <c:numRef>
              <c:f>Sheet1!$B$22:$B$28</c:f>
              <c:numCache>
                <c:formatCode>General</c:formatCode>
                <c:ptCount val="7"/>
                <c:pt idx="0">
                  <c:v>2008</c:v>
                </c:pt>
                <c:pt idx="1">
                  <c:v>2009</c:v>
                </c:pt>
                <c:pt idx="2">
                  <c:v>2010</c:v>
                </c:pt>
                <c:pt idx="3">
                  <c:v>2011</c:v>
                </c:pt>
                <c:pt idx="4">
                  <c:v>2012</c:v>
                </c:pt>
                <c:pt idx="5">
                  <c:v>2013</c:v>
                </c:pt>
                <c:pt idx="6">
                  <c:v>2014</c:v>
                </c:pt>
              </c:numCache>
            </c:numRef>
          </c:cat>
          <c:val>
            <c:numRef>
              <c:f>Sheet1!$E$22:$E$28</c:f>
              <c:numCache>
                <c:formatCode>General</c:formatCode>
                <c:ptCount val="7"/>
                <c:pt idx="0">
                  <c:v>2.8</c:v>
                </c:pt>
                <c:pt idx="1">
                  <c:v>-5.9</c:v>
                </c:pt>
                <c:pt idx="2">
                  <c:v>1.2</c:v>
                </c:pt>
                <c:pt idx="3">
                  <c:v>3.2</c:v>
                </c:pt>
                <c:pt idx="4">
                  <c:v>2.1</c:v>
                </c:pt>
                <c:pt idx="5">
                  <c:v>-3.3</c:v>
                </c:pt>
                <c:pt idx="6">
                  <c:v>1</c:v>
                </c:pt>
              </c:numCache>
            </c:numRef>
          </c:val>
        </c:ser>
        <c:ser>
          <c:idx val="3"/>
          <c:order val="3"/>
          <c:tx>
            <c:strRef>
              <c:f>Sheet1!$F$21</c:f>
              <c:strCache>
                <c:ptCount val="1"/>
                <c:pt idx="0">
                  <c:v>4月</c:v>
                </c:pt>
              </c:strCache>
            </c:strRef>
          </c:tx>
          <c:invertIfNegative val="0"/>
          <c:cat>
            <c:numRef>
              <c:f>Sheet1!$B$22:$B$28</c:f>
              <c:numCache>
                <c:formatCode>General</c:formatCode>
                <c:ptCount val="7"/>
                <c:pt idx="0">
                  <c:v>2008</c:v>
                </c:pt>
                <c:pt idx="1">
                  <c:v>2009</c:v>
                </c:pt>
                <c:pt idx="2">
                  <c:v>2010</c:v>
                </c:pt>
                <c:pt idx="3">
                  <c:v>2011</c:v>
                </c:pt>
                <c:pt idx="4">
                  <c:v>2012</c:v>
                </c:pt>
                <c:pt idx="5">
                  <c:v>2013</c:v>
                </c:pt>
                <c:pt idx="6">
                  <c:v>2014</c:v>
                </c:pt>
              </c:numCache>
            </c:numRef>
          </c:cat>
          <c:val>
            <c:numRef>
              <c:f>Sheet1!$F$22:$F$28</c:f>
              <c:numCache>
                <c:formatCode>General</c:formatCode>
                <c:ptCount val="7"/>
                <c:pt idx="0">
                  <c:v>2.8</c:v>
                </c:pt>
                <c:pt idx="1">
                  <c:v>-5.0999999999999996</c:v>
                </c:pt>
                <c:pt idx="2">
                  <c:v>0.5</c:v>
                </c:pt>
                <c:pt idx="3">
                  <c:v>4.5</c:v>
                </c:pt>
                <c:pt idx="4">
                  <c:v>-0.8</c:v>
                </c:pt>
                <c:pt idx="5">
                  <c:v>-0.2</c:v>
                </c:pt>
                <c:pt idx="6">
                  <c:v>-1.8</c:v>
                </c:pt>
              </c:numCache>
            </c:numRef>
          </c:val>
        </c:ser>
        <c:ser>
          <c:idx val="4"/>
          <c:order val="4"/>
          <c:tx>
            <c:strRef>
              <c:f>Sheet1!$G$21</c:f>
              <c:strCache>
                <c:ptCount val="1"/>
                <c:pt idx="0">
                  <c:v>5月</c:v>
                </c:pt>
              </c:strCache>
            </c:strRef>
          </c:tx>
          <c:invertIfNegative val="0"/>
          <c:cat>
            <c:numRef>
              <c:f>Sheet1!$B$22:$B$28</c:f>
              <c:numCache>
                <c:formatCode>General</c:formatCode>
                <c:ptCount val="7"/>
                <c:pt idx="0">
                  <c:v>2008</c:v>
                </c:pt>
                <c:pt idx="1">
                  <c:v>2009</c:v>
                </c:pt>
                <c:pt idx="2">
                  <c:v>2010</c:v>
                </c:pt>
                <c:pt idx="3">
                  <c:v>2011</c:v>
                </c:pt>
                <c:pt idx="4">
                  <c:v>2012</c:v>
                </c:pt>
                <c:pt idx="5">
                  <c:v>2013</c:v>
                </c:pt>
                <c:pt idx="6">
                  <c:v>2014</c:v>
                </c:pt>
              </c:numCache>
            </c:numRef>
          </c:cat>
          <c:val>
            <c:numRef>
              <c:f>Sheet1!$G$22:$G$28</c:f>
              <c:numCache>
                <c:formatCode>General</c:formatCode>
                <c:ptCount val="7"/>
                <c:pt idx="0">
                  <c:v>1.8</c:v>
                </c:pt>
                <c:pt idx="1">
                  <c:v>-5.0999999999999996</c:v>
                </c:pt>
                <c:pt idx="2">
                  <c:v>0.5</c:v>
                </c:pt>
                <c:pt idx="3">
                  <c:v>2.5</c:v>
                </c:pt>
                <c:pt idx="4">
                  <c:v>0.7</c:v>
                </c:pt>
                <c:pt idx="5">
                  <c:v>-0.9</c:v>
                </c:pt>
                <c:pt idx="6">
                  <c:v>-2.4</c:v>
                </c:pt>
              </c:numCache>
            </c:numRef>
          </c:val>
        </c:ser>
        <c:ser>
          <c:idx val="5"/>
          <c:order val="5"/>
          <c:tx>
            <c:strRef>
              <c:f>Sheet1!$H$21</c:f>
              <c:strCache>
                <c:ptCount val="1"/>
                <c:pt idx="0">
                  <c:v>6月</c:v>
                </c:pt>
              </c:strCache>
            </c:strRef>
          </c:tx>
          <c:invertIfNegative val="0"/>
          <c:cat>
            <c:numRef>
              <c:f>Sheet1!$B$22:$B$28</c:f>
              <c:numCache>
                <c:formatCode>General</c:formatCode>
                <c:ptCount val="7"/>
                <c:pt idx="0">
                  <c:v>2008</c:v>
                </c:pt>
                <c:pt idx="1">
                  <c:v>2009</c:v>
                </c:pt>
                <c:pt idx="2">
                  <c:v>2010</c:v>
                </c:pt>
                <c:pt idx="3">
                  <c:v>2011</c:v>
                </c:pt>
                <c:pt idx="4">
                  <c:v>2012</c:v>
                </c:pt>
                <c:pt idx="5">
                  <c:v>2013</c:v>
                </c:pt>
                <c:pt idx="6">
                  <c:v>2014</c:v>
                </c:pt>
              </c:numCache>
            </c:numRef>
          </c:cat>
          <c:val>
            <c:numRef>
              <c:f>Sheet1!$H$22:$H$28</c:f>
              <c:numCache>
                <c:formatCode>General</c:formatCode>
                <c:ptCount val="7"/>
                <c:pt idx="0">
                  <c:v>0.5</c:v>
                </c:pt>
                <c:pt idx="1">
                  <c:v>-2.7</c:v>
                </c:pt>
                <c:pt idx="2">
                  <c:v>-1.5</c:v>
                </c:pt>
                <c:pt idx="3">
                  <c:v>0.5</c:v>
                </c:pt>
                <c:pt idx="4">
                  <c:v>7.2</c:v>
                </c:pt>
                <c:pt idx="5">
                  <c:v>-1.8</c:v>
                </c:pt>
                <c:pt idx="6">
                  <c:v>-1.6</c:v>
                </c:pt>
              </c:numCache>
            </c:numRef>
          </c:val>
        </c:ser>
        <c:ser>
          <c:idx val="6"/>
          <c:order val="6"/>
          <c:tx>
            <c:strRef>
              <c:f>Sheet1!$I$21</c:f>
              <c:strCache>
                <c:ptCount val="1"/>
                <c:pt idx="0">
                  <c:v>7月</c:v>
                </c:pt>
              </c:strCache>
            </c:strRef>
          </c:tx>
          <c:invertIfNegative val="0"/>
          <c:cat>
            <c:numRef>
              <c:f>Sheet1!$B$22:$B$28</c:f>
              <c:numCache>
                <c:formatCode>General</c:formatCode>
                <c:ptCount val="7"/>
                <c:pt idx="0">
                  <c:v>2008</c:v>
                </c:pt>
                <c:pt idx="1">
                  <c:v>2009</c:v>
                </c:pt>
                <c:pt idx="2">
                  <c:v>2010</c:v>
                </c:pt>
                <c:pt idx="3">
                  <c:v>2011</c:v>
                </c:pt>
                <c:pt idx="4">
                  <c:v>2012</c:v>
                </c:pt>
                <c:pt idx="5">
                  <c:v>2013</c:v>
                </c:pt>
                <c:pt idx="6">
                  <c:v>2014</c:v>
                </c:pt>
              </c:numCache>
            </c:numRef>
          </c:cat>
          <c:val>
            <c:numRef>
              <c:f>Sheet1!$I$22:$I$28</c:f>
              <c:numCache>
                <c:formatCode>General</c:formatCode>
                <c:ptCount val="7"/>
                <c:pt idx="0">
                  <c:v>-0.3</c:v>
                </c:pt>
                <c:pt idx="1">
                  <c:v>-11.4</c:v>
                </c:pt>
                <c:pt idx="2">
                  <c:v>8.1</c:v>
                </c:pt>
                <c:pt idx="3">
                  <c:v>2.4</c:v>
                </c:pt>
                <c:pt idx="4">
                  <c:v>-0.8</c:v>
                </c:pt>
                <c:pt idx="5">
                  <c:v>-3.2</c:v>
                </c:pt>
                <c:pt idx="6">
                  <c:v>-2</c:v>
                </c:pt>
              </c:numCache>
            </c:numRef>
          </c:val>
        </c:ser>
        <c:ser>
          <c:idx val="7"/>
          <c:order val="7"/>
          <c:tx>
            <c:strRef>
              <c:f>Sheet1!$J$21</c:f>
              <c:strCache>
                <c:ptCount val="1"/>
                <c:pt idx="0">
                  <c:v>8月</c:v>
                </c:pt>
              </c:strCache>
            </c:strRef>
          </c:tx>
          <c:invertIfNegative val="0"/>
          <c:cat>
            <c:numRef>
              <c:f>Sheet1!$B$22:$B$28</c:f>
              <c:numCache>
                <c:formatCode>General</c:formatCode>
                <c:ptCount val="7"/>
                <c:pt idx="0">
                  <c:v>2008</c:v>
                </c:pt>
                <c:pt idx="1">
                  <c:v>2009</c:v>
                </c:pt>
                <c:pt idx="2">
                  <c:v>2010</c:v>
                </c:pt>
                <c:pt idx="3">
                  <c:v>2011</c:v>
                </c:pt>
                <c:pt idx="4">
                  <c:v>2012</c:v>
                </c:pt>
                <c:pt idx="5">
                  <c:v>2013</c:v>
                </c:pt>
                <c:pt idx="6">
                  <c:v>2014</c:v>
                </c:pt>
              </c:numCache>
            </c:numRef>
          </c:cat>
          <c:val>
            <c:numRef>
              <c:f>Sheet1!$J$22:$J$28</c:f>
              <c:numCache>
                <c:formatCode>General</c:formatCode>
                <c:ptCount val="7"/>
                <c:pt idx="0">
                  <c:v>-2.7</c:v>
                </c:pt>
                <c:pt idx="1">
                  <c:v>-4.3</c:v>
                </c:pt>
                <c:pt idx="2">
                  <c:v>2.4</c:v>
                </c:pt>
                <c:pt idx="3">
                  <c:v>1.7</c:v>
                </c:pt>
                <c:pt idx="4">
                  <c:v>-1.5</c:v>
                </c:pt>
                <c:pt idx="5">
                  <c:v>-4.4000000000000004</c:v>
                </c:pt>
                <c:pt idx="6">
                  <c:v>-1.7</c:v>
                </c:pt>
              </c:numCache>
            </c:numRef>
          </c:val>
        </c:ser>
        <c:ser>
          <c:idx val="8"/>
          <c:order val="8"/>
          <c:tx>
            <c:strRef>
              <c:f>Sheet1!$K$21</c:f>
              <c:strCache>
                <c:ptCount val="1"/>
                <c:pt idx="0">
                  <c:v>9月</c:v>
                </c:pt>
              </c:strCache>
            </c:strRef>
          </c:tx>
          <c:invertIfNegative val="0"/>
          <c:cat>
            <c:numRef>
              <c:f>Sheet1!$B$22:$B$28</c:f>
              <c:numCache>
                <c:formatCode>General</c:formatCode>
                <c:ptCount val="7"/>
                <c:pt idx="0">
                  <c:v>2008</c:v>
                </c:pt>
                <c:pt idx="1">
                  <c:v>2009</c:v>
                </c:pt>
                <c:pt idx="2">
                  <c:v>2010</c:v>
                </c:pt>
                <c:pt idx="3">
                  <c:v>2011</c:v>
                </c:pt>
                <c:pt idx="4">
                  <c:v>2012</c:v>
                </c:pt>
                <c:pt idx="5">
                  <c:v>2013</c:v>
                </c:pt>
                <c:pt idx="6">
                  <c:v>2014</c:v>
                </c:pt>
              </c:numCache>
            </c:numRef>
          </c:cat>
          <c:val>
            <c:numRef>
              <c:f>Sheet1!$K$22:$K$28</c:f>
              <c:numCache>
                <c:formatCode>General</c:formatCode>
                <c:ptCount val="7"/>
                <c:pt idx="0">
                  <c:v>-3.1</c:v>
                </c:pt>
                <c:pt idx="1">
                  <c:v>-4.9000000000000004</c:v>
                </c:pt>
                <c:pt idx="2">
                  <c:v>2.9</c:v>
                </c:pt>
                <c:pt idx="3">
                  <c:v>0.7</c:v>
                </c:pt>
                <c:pt idx="4">
                  <c:v>-0.5</c:v>
                </c:pt>
                <c:pt idx="5">
                  <c:v>-3.5</c:v>
                </c:pt>
              </c:numCache>
            </c:numRef>
          </c:val>
        </c:ser>
        <c:ser>
          <c:idx val="9"/>
          <c:order val="9"/>
          <c:tx>
            <c:strRef>
              <c:f>Sheet1!$L$21</c:f>
              <c:strCache>
                <c:ptCount val="1"/>
                <c:pt idx="0">
                  <c:v>10月</c:v>
                </c:pt>
              </c:strCache>
            </c:strRef>
          </c:tx>
          <c:invertIfNegative val="0"/>
          <c:cat>
            <c:numRef>
              <c:f>Sheet1!$B$22:$B$28</c:f>
              <c:numCache>
                <c:formatCode>General</c:formatCode>
                <c:ptCount val="7"/>
                <c:pt idx="0">
                  <c:v>2008</c:v>
                </c:pt>
                <c:pt idx="1">
                  <c:v>2009</c:v>
                </c:pt>
                <c:pt idx="2">
                  <c:v>2010</c:v>
                </c:pt>
                <c:pt idx="3">
                  <c:v>2011</c:v>
                </c:pt>
                <c:pt idx="4">
                  <c:v>2012</c:v>
                </c:pt>
                <c:pt idx="5">
                  <c:v>2013</c:v>
                </c:pt>
                <c:pt idx="6">
                  <c:v>2014</c:v>
                </c:pt>
              </c:numCache>
            </c:numRef>
          </c:cat>
          <c:val>
            <c:numRef>
              <c:f>Sheet1!$L$22:$L$28</c:f>
              <c:numCache>
                <c:formatCode>General</c:formatCode>
                <c:ptCount val="7"/>
                <c:pt idx="0">
                  <c:v>-1.2</c:v>
                </c:pt>
                <c:pt idx="1">
                  <c:v>-4.5</c:v>
                </c:pt>
                <c:pt idx="2">
                  <c:v>2.6</c:v>
                </c:pt>
                <c:pt idx="3">
                  <c:v>1.7</c:v>
                </c:pt>
                <c:pt idx="4">
                  <c:v>0</c:v>
                </c:pt>
                <c:pt idx="5">
                  <c:v>-3.9</c:v>
                </c:pt>
              </c:numCache>
            </c:numRef>
          </c:val>
        </c:ser>
        <c:ser>
          <c:idx val="10"/>
          <c:order val="10"/>
          <c:tx>
            <c:strRef>
              <c:f>Sheet1!$M$21</c:f>
              <c:strCache>
                <c:ptCount val="1"/>
                <c:pt idx="0">
                  <c:v>11月</c:v>
                </c:pt>
              </c:strCache>
            </c:strRef>
          </c:tx>
          <c:invertIfNegative val="0"/>
          <c:cat>
            <c:numRef>
              <c:f>Sheet1!$B$22:$B$28</c:f>
              <c:numCache>
                <c:formatCode>General</c:formatCode>
                <c:ptCount val="7"/>
                <c:pt idx="0">
                  <c:v>2008</c:v>
                </c:pt>
                <c:pt idx="1">
                  <c:v>2009</c:v>
                </c:pt>
                <c:pt idx="2">
                  <c:v>2010</c:v>
                </c:pt>
                <c:pt idx="3">
                  <c:v>2011</c:v>
                </c:pt>
                <c:pt idx="4">
                  <c:v>2012</c:v>
                </c:pt>
                <c:pt idx="5">
                  <c:v>2013</c:v>
                </c:pt>
                <c:pt idx="6">
                  <c:v>2014</c:v>
                </c:pt>
              </c:numCache>
            </c:numRef>
          </c:cat>
          <c:val>
            <c:numRef>
              <c:f>Sheet1!$M$22:$M$28</c:f>
              <c:numCache>
                <c:formatCode>General</c:formatCode>
                <c:ptCount val="7"/>
                <c:pt idx="0">
                  <c:v>-4.3</c:v>
                </c:pt>
                <c:pt idx="1">
                  <c:v>-6</c:v>
                </c:pt>
                <c:pt idx="2">
                  <c:v>3.6</c:v>
                </c:pt>
                <c:pt idx="3">
                  <c:v>1.8</c:v>
                </c:pt>
                <c:pt idx="4">
                  <c:v>-0.3</c:v>
                </c:pt>
                <c:pt idx="5">
                  <c:v>-3.3</c:v>
                </c:pt>
              </c:numCache>
            </c:numRef>
          </c:val>
        </c:ser>
        <c:ser>
          <c:idx val="11"/>
          <c:order val="11"/>
          <c:tx>
            <c:strRef>
              <c:f>Sheet1!$N$21</c:f>
              <c:strCache>
                <c:ptCount val="1"/>
                <c:pt idx="0">
                  <c:v>12月</c:v>
                </c:pt>
              </c:strCache>
            </c:strRef>
          </c:tx>
          <c:invertIfNegative val="0"/>
          <c:cat>
            <c:numRef>
              <c:f>Sheet1!$B$22:$B$28</c:f>
              <c:numCache>
                <c:formatCode>General</c:formatCode>
                <c:ptCount val="7"/>
                <c:pt idx="0">
                  <c:v>2008</c:v>
                </c:pt>
                <c:pt idx="1">
                  <c:v>2009</c:v>
                </c:pt>
                <c:pt idx="2">
                  <c:v>2010</c:v>
                </c:pt>
                <c:pt idx="3">
                  <c:v>2011</c:v>
                </c:pt>
                <c:pt idx="4">
                  <c:v>2012</c:v>
                </c:pt>
                <c:pt idx="5">
                  <c:v>2013</c:v>
                </c:pt>
                <c:pt idx="6">
                  <c:v>2014</c:v>
                </c:pt>
              </c:numCache>
            </c:numRef>
          </c:cat>
          <c:val>
            <c:numRef>
              <c:f>Sheet1!$N$22:$N$28</c:f>
              <c:numCache>
                <c:formatCode>General</c:formatCode>
                <c:ptCount val="7"/>
                <c:pt idx="0">
                  <c:v>-0.9</c:v>
                </c:pt>
                <c:pt idx="1">
                  <c:v>-9.4</c:v>
                </c:pt>
                <c:pt idx="2">
                  <c:v>5.5</c:v>
                </c:pt>
                <c:pt idx="3">
                  <c:v>1.4</c:v>
                </c:pt>
                <c:pt idx="4">
                  <c:v>2.5</c:v>
                </c:pt>
                <c:pt idx="5">
                  <c:v>-3.1</c:v>
                </c:pt>
              </c:numCache>
            </c:numRef>
          </c:val>
        </c:ser>
        <c:dLbls>
          <c:showLegendKey val="0"/>
          <c:showVal val="0"/>
          <c:showCatName val="0"/>
          <c:showSerName val="0"/>
          <c:showPercent val="0"/>
          <c:showBubbleSize val="0"/>
        </c:dLbls>
        <c:gapWidth val="150"/>
        <c:axId val="62295040"/>
        <c:axId val="62297216"/>
      </c:barChart>
      <c:catAx>
        <c:axId val="62295040"/>
        <c:scaling>
          <c:orientation val="minMax"/>
        </c:scaling>
        <c:delete val="0"/>
        <c:axPos val="b"/>
        <c:title>
          <c:tx>
            <c:rich>
              <a:bodyPr/>
              <a:lstStyle/>
              <a:p>
                <a:pPr>
                  <a:defRPr/>
                </a:pPr>
                <a:r>
                  <a:rPr lang="ja-JP" altLang="en-US"/>
                  <a:t>年</a:t>
                </a:r>
                <a:r>
                  <a:rPr lang="en-US" altLang="ja-JP"/>
                  <a:t>(</a:t>
                </a:r>
                <a:r>
                  <a:rPr lang="ja-JP" altLang="en-US"/>
                  <a:t>月別）</a:t>
                </a:r>
              </a:p>
            </c:rich>
          </c:tx>
          <c:layout/>
          <c:overlay val="0"/>
        </c:title>
        <c:numFmt formatCode="General" sourceLinked="1"/>
        <c:majorTickMark val="out"/>
        <c:minorTickMark val="none"/>
        <c:tickLblPos val="nextTo"/>
        <c:crossAx val="62297216"/>
        <c:crosses val="autoZero"/>
        <c:auto val="1"/>
        <c:lblAlgn val="ctr"/>
        <c:lblOffset val="1000"/>
        <c:noMultiLvlLbl val="0"/>
      </c:catAx>
      <c:valAx>
        <c:axId val="62297216"/>
        <c:scaling>
          <c:orientation val="minMax"/>
        </c:scaling>
        <c:delete val="0"/>
        <c:axPos val="l"/>
        <c:majorGridlines/>
        <c:title>
          <c:tx>
            <c:rich>
              <a:bodyPr rot="0" vert="wordArtVertRtl"/>
              <a:lstStyle/>
              <a:p>
                <a:pPr>
                  <a:defRPr/>
                </a:pPr>
                <a:r>
                  <a:rPr lang="en-US" altLang="ja-JP"/>
                  <a:t>(%)</a:t>
                </a:r>
                <a:endParaRPr lang="ja-JP" altLang="en-US"/>
              </a:p>
            </c:rich>
          </c:tx>
          <c:layout/>
          <c:overlay val="0"/>
        </c:title>
        <c:numFmt formatCode="General" sourceLinked="1"/>
        <c:majorTickMark val="out"/>
        <c:minorTickMark val="none"/>
        <c:tickLblPos val="nextTo"/>
        <c:crossAx val="62295040"/>
        <c:crosses val="autoZero"/>
        <c:crossBetween val="between"/>
      </c:valAx>
    </c:plotArea>
    <c:plotVisOnly val="1"/>
    <c:dispBlanksAs val="gap"/>
    <c:showDLblsOverMax val="0"/>
  </c:chart>
  <c:txPr>
    <a:bodyPr/>
    <a:lstStyle/>
    <a:p>
      <a:pPr>
        <a:defRPr sz="1200">
          <a:latin typeface="+mj-ea"/>
          <a:ea typeface="+mj-ea"/>
        </a:defRPr>
      </a:pPr>
      <a:endParaRPr lang="ja-JP"/>
    </a:p>
  </c:tx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ja-JP"/>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tx>
            <c:strRef>
              <c:f>Sheet1!$C$49</c:f>
              <c:strCache>
                <c:ptCount val="1"/>
                <c:pt idx="0">
                  <c:v>新潟県</c:v>
                </c:pt>
              </c:strCache>
            </c:strRef>
          </c:tx>
          <c:cat>
            <c:strRef>
              <c:f>Sheet1!$B$50:$B$130</c:f>
              <c:strCache>
                <c:ptCount val="73"/>
                <c:pt idx="0">
                  <c:v>08年</c:v>
                </c:pt>
                <c:pt idx="12">
                  <c:v>09年</c:v>
                </c:pt>
                <c:pt idx="24">
                  <c:v>10年</c:v>
                </c:pt>
                <c:pt idx="36">
                  <c:v>11年</c:v>
                </c:pt>
                <c:pt idx="48">
                  <c:v>12年</c:v>
                </c:pt>
                <c:pt idx="60">
                  <c:v>13年</c:v>
                </c:pt>
                <c:pt idx="72">
                  <c:v>14年</c:v>
                </c:pt>
              </c:strCache>
            </c:strRef>
          </c:cat>
          <c:val>
            <c:numRef>
              <c:f>Sheet1!$C$50:$C$130</c:f>
              <c:numCache>
                <c:formatCode>General</c:formatCode>
                <c:ptCount val="81"/>
                <c:pt idx="0">
                  <c:v>7</c:v>
                </c:pt>
                <c:pt idx="1">
                  <c:v>2.9</c:v>
                </c:pt>
                <c:pt idx="2">
                  <c:v>2.8</c:v>
                </c:pt>
                <c:pt idx="3">
                  <c:v>2.8</c:v>
                </c:pt>
                <c:pt idx="4">
                  <c:v>1.8</c:v>
                </c:pt>
                <c:pt idx="5">
                  <c:v>0.5</c:v>
                </c:pt>
                <c:pt idx="6">
                  <c:v>-0.3</c:v>
                </c:pt>
                <c:pt idx="7">
                  <c:v>-2.7</c:v>
                </c:pt>
                <c:pt idx="8">
                  <c:v>-3.1</c:v>
                </c:pt>
                <c:pt idx="9">
                  <c:v>-1.2</c:v>
                </c:pt>
                <c:pt idx="10">
                  <c:v>-4.3</c:v>
                </c:pt>
                <c:pt idx="11">
                  <c:v>-0.9</c:v>
                </c:pt>
                <c:pt idx="12">
                  <c:v>-6.8</c:v>
                </c:pt>
                <c:pt idx="13">
                  <c:v>-5</c:v>
                </c:pt>
                <c:pt idx="14">
                  <c:v>-5.9</c:v>
                </c:pt>
                <c:pt idx="15">
                  <c:v>-5.0999999999999996</c:v>
                </c:pt>
                <c:pt idx="16">
                  <c:v>-5.0999999999999996</c:v>
                </c:pt>
                <c:pt idx="17">
                  <c:v>-2.7</c:v>
                </c:pt>
                <c:pt idx="18">
                  <c:v>-11.4</c:v>
                </c:pt>
                <c:pt idx="19">
                  <c:v>-4.3</c:v>
                </c:pt>
                <c:pt idx="20">
                  <c:v>-4.9000000000000004</c:v>
                </c:pt>
                <c:pt idx="21">
                  <c:v>-4.5</c:v>
                </c:pt>
                <c:pt idx="22">
                  <c:v>-6</c:v>
                </c:pt>
                <c:pt idx="23">
                  <c:v>-9.4</c:v>
                </c:pt>
                <c:pt idx="24">
                  <c:v>-3.9</c:v>
                </c:pt>
                <c:pt idx="25" formatCode="m&quot;月&quot;d&quot;日&quot;">
                  <c:v>-1.2</c:v>
                </c:pt>
                <c:pt idx="26">
                  <c:v>1.2</c:v>
                </c:pt>
                <c:pt idx="27">
                  <c:v>0.5</c:v>
                </c:pt>
                <c:pt idx="28">
                  <c:v>0.5</c:v>
                </c:pt>
                <c:pt idx="29">
                  <c:v>-1.5</c:v>
                </c:pt>
                <c:pt idx="30">
                  <c:v>8.1</c:v>
                </c:pt>
                <c:pt idx="31">
                  <c:v>2.4</c:v>
                </c:pt>
                <c:pt idx="32">
                  <c:v>2.9</c:v>
                </c:pt>
                <c:pt idx="33">
                  <c:v>2.6</c:v>
                </c:pt>
                <c:pt idx="34">
                  <c:v>3.6</c:v>
                </c:pt>
                <c:pt idx="35">
                  <c:v>5.5</c:v>
                </c:pt>
                <c:pt idx="36">
                  <c:v>4</c:v>
                </c:pt>
                <c:pt idx="37">
                  <c:v>4.5999999999999996</c:v>
                </c:pt>
                <c:pt idx="38">
                  <c:v>3.2</c:v>
                </c:pt>
                <c:pt idx="39">
                  <c:v>4.5</c:v>
                </c:pt>
                <c:pt idx="40">
                  <c:v>2.5</c:v>
                </c:pt>
                <c:pt idx="41">
                  <c:v>0.5</c:v>
                </c:pt>
                <c:pt idx="42">
                  <c:v>2.4</c:v>
                </c:pt>
                <c:pt idx="43">
                  <c:v>1.7</c:v>
                </c:pt>
                <c:pt idx="44">
                  <c:v>0.7</c:v>
                </c:pt>
                <c:pt idx="45">
                  <c:v>1.7</c:v>
                </c:pt>
                <c:pt idx="46">
                  <c:v>1.8</c:v>
                </c:pt>
                <c:pt idx="47">
                  <c:v>1.4</c:v>
                </c:pt>
                <c:pt idx="48">
                  <c:v>-1</c:v>
                </c:pt>
                <c:pt idx="49">
                  <c:v>0.3</c:v>
                </c:pt>
                <c:pt idx="50">
                  <c:v>2.1</c:v>
                </c:pt>
                <c:pt idx="51">
                  <c:v>-0.8</c:v>
                </c:pt>
                <c:pt idx="52">
                  <c:v>0.7</c:v>
                </c:pt>
                <c:pt idx="53">
                  <c:v>7.2</c:v>
                </c:pt>
                <c:pt idx="54">
                  <c:v>-0.8</c:v>
                </c:pt>
                <c:pt idx="55">
                  <c:v>-1.5</c:v>
                </c:pt>
                <c:pt idx="56">
                  <c:v>-0.5</c:v>
                </c:pt>
                <c:pt idx="57">
                  <c:v>0</c:v>
                </c:pt>
                <c:pt idx="58">
                  <c:v>-0.3</c:v>
                </c:pt>
                <c:pt idx="59">
                  <c:v>2.5</c:v>
                </c:pt>
                <c:pt idx="60">
                  <c:v>-2.2000000000000002</c:v>
                </c:pt>
                <c:pt idx="61">
                  <c:v>-2</c:v>
                </c:pt>
                <c:pt idx="62">
                  <c:v>-3.3</c:v>
                </c:pt>
                <c:pt idx="63">
                  <c:v>-0.2</c:v>
                </c:pt>
                <c:pt idx="64">
                  <c:v>-0.9</c:v>
                </c:pt>
                <c:pt idx="65">
                  <c:v>-1.8</c:v>
                </c:pt>
                <c:pt idx="66">
                  <c:v>-3.2</c:v>
                </c:pt>
                <c:pt idx="67">
                  <c:v>-4.4000000000000004</c:v>
                </c:pt>
                <c:pt idx="68">
                  <c:v>-3.5</c:v>
                </c:pt>
                <c:pt idx="69">
                  <c:v>-3.9</c:v>
                </c:pt>
                <c:pt idx="70">
                  <c:v>-3.3</c:v>
                </c:pt>
                <c:pt idx="71">
                  <c:v>-3.1</c:v>
                </c:pt>
                <c:pt idx="72">
                  <c:v>-1.6</c:v>
                </c:pt>
                <c:pt idx="73">
                  <c:v>-0.9</c:v>
                </c:pt>
                <c:pt idx="74">
                  <c:v>1</c:v>
                </c:pt>
                <c:pt idx="75">
                  <c:v>-1.8</c:v>
                </c:pt>
                <c:pt idx="76">
                  <c:v>-2.4</c:v>
                </c:pt>
                <c:pt idx="77">
                  <c:v>-1.6</c:v>
                </c:pt>
                <c:pt idx="78">
                  <c:v>-2</c:v>
                </c:pt>
                <c:pt idx="79">
                  <c:v>-1.7</c:v>
                </c:pt>
              </c:numCache>
            </c:numRef>
          </c:val>
          <c:smooth val="0"/>
        </c:ser>
        <c:ser>
          <c:idx val="1"/>
          <c:order val="1"/>
          <c:tx>
            <c:strRef>
              <c:f>Sheet1!$D$49</c:f>
              <c:strCache>
                <c:ptCount val="1"/>
                <c:pt idx="0">
                  <c:v>全国</c:v>
                </c:pt>
              </c:strCache>
            </c:strRef>
          </c:tx>
          <c:marker>
            <c:symbol val="square"/>
            <c:size val="4"/>
          </c:marker>
          <c:cat>
            <c:strRef>
              <c:f>Sheet1!$B$50:$B$130</c:f>
              <c:strCache>
                <c:ptCount val="73"/>
                <c:pt idx="0">
                  <c:v>08年</c:v>
                </c:pt>
                <c:pt idx="12">
                  <c:v>09年</c:v>
                </c:pt>
                <c:pt idx="24">
                  <c:v>10年</c:v>
                </c:pt>
                <c:pt idx="36">
                  <c:v>11年</c:v>
                </c:pt>
                <c:pt idx="48">
                  <c:v>12年</c:v>
                </c:pt>
                <c:pt idx="60">
                  <c:v>13年</c:v>
                </c:pt>
                <c:pt idx="72">
                  <c:v>14年</c:v>
                </c:pt>
              </c:strCache>
            </c:strRef>
          </c:cat>
          <c:val>
            <c:numRef>
              <c:f>Sheet1!$D$50:$D$130</c:f>
              <c:numCache>
                <c:formatCode>General</c:formatCode>
                <c:ptCount val="81"/>
                <c:pt idx="0">
                  <c:v>0.1</c:v>
                </c:pt>
                <c:pt idx="1">
                  <c:v>-0.4</c:v>
                </c:pt>
                <c:pt idx="2">
                  <c:v>-0.3</c:v>
                </c:pt>
                <c:pt idx="3">
                  <c:v>-0.8</c:v>
                </c:pt>
                <c:pt idx="4">
                  <c:v>-1.3</c:v>
                </c:pt>
                <c:pt idx="5">
                  <c:v>-2.4</c:v>
                </c:pt>
                <c:pt idx="6">
                  <c:v>-3</c:v>
                </c:pt>
                <c:pt idx="7">
                  <c:v>-2.9</c:v>
                </c:pt>
                <c:pt idx="8">
                  <c:v>-2.9</c:v>
                </c:pt>
                <c:pt idx="9">
                  <c:v>-2.5</c:v>
                </c:pt>
                <c:pt idx="10">
                  <c:v>-2.4</c:v>
                </c:pt>
                <c:pt idx="11">
                  <c:v>-1.9</c:v>
                </c:pt>
                <c:pt idx="12">
                  <c:v>-2.6</c:v>
                </c:pt>
                <c:pt idx="13">
                  <c:v>-2.5</c:v>
                </c:pt>
                <c:pt idx="14">
                  <c:v>-3.6</c:v>
                </c:pt>
                <c:pt idx="15">
                  <c:v>-2.6</c:v>
                </c:pt>
                <c:pt idx="16">
                  <c:v>-1.3</c:v>
                </c:pt>
                <c:pt idx="17">
                  <c:v>-5.3</c:v>
                </c:pt>
                <c:pt idx="18">
                  <c:v>-3.2</c:v>
                </c:pt>
                <c:pt idx="19">
                  <c:v>-0.1</c:v>
                </c:pt>
                <c:pt idx="20">
                  <c:v>0.7</c:v>
                </c:pt>
                <c:pt idx="21">
                  <c:v>0.8</c:v>
                </c:pt>
                <c:pt idx="22">
                  <c:v>-0.5</c:v>
                </c:pt>
                <c:pt idx="23">
                  <c:v>-4.3</c:v>
                </c:pt>
                <c:pt idx="24">
                  <c:v>0.7</c:v>
                </c:pt>
                <c:pt idx="25">
                  <c:v>0</c:v>
                </c:pt>
                <c:pt idx="26">
                  <c:v>1.6</c:v>
                </c:pt>
                <c:pt idx="27">
                  <c:v>2.4</c:v>
                </c:pt>
                <c:pt idx="28">
                  <c:v>0.7</c:v>
                </c:pt>
                <c:pt idx="29">
                  <c:v>2.6</c:v>
                </c:pt>
                <c:pt idx="30">
                  <c:v>2.5</c:v>
                </c:pt>
                <c:pt idx="31">
                  <c:v>1.4</c:v>
                </c:pt>
                <c:pt idx="32">
                  <c:v>1.9</c:v>
                </c:pt>
                <c:pt idx="33">
                  <c:v>0.6</c:v>
                </c:pt>
                <c:pt idx="34">
                  <c:v>0.3</c:v>
                </c:pt>
                <c:pt idx="35">
                  <c:v>0.4</c:v>
                </c:pt>
                <c:pt idx="36">
                  <c:v>0.8</c:v>
                </c:pt>
                <c:pt idx="37">
                  <c:v>0.6</c:v>
                </c:pt>
                <c:pt idx="38">
                  <c:v>0.3</c:v>
                </c:pt>
                <c:pt idx="39">
                  <c:v>-1</c:v>
                </c:pt>
                <c:pt idx="40">
                  <c:v>1.3</c:v>
                </c:pt>
                <c:pt idx="41">
                  <c:v>-0.4</c:v>
                </c:pt>
                <c:pt idx="42">
                  <c:v>-0.6</c:v>
                </c:pt>
                <c:pt idx="43">
                  <c:v>-0.7</c:v>
                </c:pt>
                <c:pt idx="44">
                  <c:v>-0.6</c:v>
                </c:pt>
                <c:pt idx="45">
                  <c:v>0.1</c:v>
                </c:pt>
                <c:pt idx="46">
                  <c:v>0.3</c:v>
                </c:pt>
                <c:pt idx="47">
                  <c:v>0.2</c:v>
                </c:pt>
                <c:pt idx="48">
                  <c:v>-1.3</c:v>
                </c:pt>
                <c:pt idx="49">
                  <c:v>-0.2</c:v>
                </c:pt>
                <c:pt idx="50">
                  <c:v>0.3</c:v>
                </c:pt>
                <c:pt idx="51">
                  <c:v>-0.3</c:v>
                </c:pt>
                <c:pt idx="52">
                  <c:v>-1.4</c:v>
                </c:pt>
                <c:pt idx="53">
                  <c:v>-0.4</c:v>
                </c:pt>
                <c:pt idx="54">
                  <c:v>-1.1000000000000001</c:v>
                </c:pt>
                <c:pt idx="55">
                  <c:v>0.5</c:v>
                </c:pt>
                <c:pt idx="56">
                  <c:v>-0.2</c:v>
                </c:pt>
                <c:pt idx="57">
                  <c:v>0</c:v>
                </c:pt>
                <c:pt idx="58">
                  <c:v>-0.7</c:v>
                </c:pt>
                <c:pt idx="59">
                  <c:v>-1.6</c:v>
                </c:pt>
                <c:pt idx="60">
                  <c:v>0.4</c:v>
                </c:pt>
                <c:pt idx="61">
                  <c:v>-0.1</c:v>
                </c:pt>
                <c:pt idx="62">
                  <c:v>0</c:v>
                </c:pt>
                <c:pt idx="63">
                  <c:v>0.7</c:v>
                </c:pt>
                <c:pt idx="64">
                  <c:v>0.2</c:v>
                </c:pt>
                <c:pt idx="65">
                  <c:v>0.3</c:v>
                </c:pt>
                <c:pt idx="66">
                  <c:v>-1</c:v>
                </c:pt>
                <c:pt idx="67">
                  <c:v>2</c:v>
                </c:pt>
                <c:pt idx="68">
                  <c:v>-1.5</c:v>
                </c:pt>
                <c:pt idx="69">
                  <c:v>-1.5</c:v>
                </c:pt>
                <c:pt idx="70">
                  <c:v>-1.4</c:v>
                </c:pt>
                <c:pt idx="71">
                  <c:v>-1.3</c:v>
                </c:pt>
                <c:pt idx="72">
                  <c:v>-1.8</c:v>
                </c:pt>
                <c:pt idx="73">
                  <c:v>-2</c:v>
                </c:pt>
                <c:pt idx="74">
                  <c:v>-1.3</c:v>
                </c:pt>
                <c:pt idx="75">
                  <c:v>-3.4</c:v>
                </c:pt>
                <c:pt idx="76">
                  <c:v>-3.8</c:v>
                </c:pt>
                <c:pt idx="77">
                  <c:v>-3.2</c:v>
                </c:pt>
                <c:pt idx="78">
                  <c:v>-1.7</c:v>
                </c:pt>
                <c:pt idx="79">
                  <c:v>-3.1</c:v>
                </c:pt>
                <c:pt idx="80">
                  <c:v>-3</c:v>
                </c:pt>
              </c:numCache>
            </c:numRef>
          </c:val>
          <c:smooth val="0"/>
        </c:ser>
        <c:dLbls>
          <c:showLegendKey val="0"/>
          <c:showVal val="0"/>
          <c:showCatName val="0"/>
          <c:showSerName val="0"/>
          <c:showPercent val="0"/>
          <c:showBubbleSize val="0"/>
        </c:dLbls>
        <c:marker val="1"/>
        <c:smooth val="0"/>
        <c:axId val="115680000"/>
        <c:axId val="115681536"/>
      </c:lineChart>
      <c:catAx>
        <c:axId val="115680000"/>
        <c:scaling>
          <c:orientation val="minMax"/>
        </c:scaling>
        <c:delete val="0"/>
        <c:axPos val="b"/>
        <c:majorTickMark val="out"/>
        <c:minorTickMark val="none"/>
        <c:tickLblPos val="nextTo"/>
        <c:crossAx val="115681536"/>
        <c:crosses val="autoZero"/>
        <c:auto val="1"/>
        <c:lblAlgn val="ctr"/>
        <c:lblOffset val="1000"/>
        <c:noMultiLvlLbl val="0"/>
      </c:catAx>
      <c:valAx>
        <c:axId val="115681536"/>
        <c:scaling>
          <c:orientation val="minMax"/>
        </c:scaling>
        <c:delete val="0"/>
        <c:axPos val="l"/>
        <c:majorGridlines/>
        <c:numFmt formatCode="General" sourceLinked="1"/>
        <c:majorTickMark val="out"/>
        <c:minorTickMark val="none"/>
        <c:tickLblPos val="nextTo"/>
        <c:crossAx val="115680000"/>
        <c:crosses val="autoZero"/>
        <c:crossBetween val="between"/>
      </c:valAx>
    </c:plotArea>
    <c:legend>
      <c:legendPos val="r"/>
      <c:layout/>
      <c:overlay val="0"/>
    </c:legend>
    <c:plotVisOnly val="1"/>
    <c:dispBlanksAs val="gap"/>
    <c:showDLblsOverMax val="0"/>
  </c:chart>
  <c:txPr>
    <a:bodyPr/>
    <a:lstStyle/>
    <a:p>
      <a:pPr>
        <a:defRPr sz="1200">
          <a:latin typeface="+mj-ea"/>
          <a:ea typeface="+mj-ea"/>
        </a:defRPr>
      </a:pPr>
      <a:endParaRPr lang="ja-JP"/>
    </a:p>
  </c:txPr>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ja-JP"/>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tx>
            <c:strRef>
              <c:f>Sheet2!$C$5</c:f>
              <c:strCache>
                <c:ptCount val="1"/>
                <c:pt idx="0">
                  <c:v>新潟県</c:v>
                </c:pt>
              </c:strCache>
            </c:strRef>
          </c:tx>
          <c:marker>
            <c:symbol val="diamond"/>
            <c:size val="5"/>
          </c:marker>
          <c:cat>
            <c:strRef>
              <c:f>Sheet2!$B$6:$B$74</c:f>
              <c:strCache>
                <c:ptCount val="61"/>
                <c:pt idx="0">
                  <c:v>09年</c:v>
                </c:pt>
                <c:pt idx="12">
                  <c:v>10年</c:v>
                </c:pt>
                <c:pt idx="24">
                  <c:v>11年</c:v>
                </c:pt>
                <c:pt idx="36">
                  <c:v>12年</c:v>
                </c:pt>
                <c:pt idx="48">
                  <c:v>13年</c:v>
                </c:pt>
                <c:pt idx="60">
                  <c:v>14年</c:v>
                </c:pt>
              </c:strCache>
            </c:strRef>
          </c:cat>
          <c:val>
            <c:numRef>
              <c:f>Sheet2!$C$6:$C$74</c:f>
              <c:numCache>
                <c:formatCode>_ * #,##0.0_ ;_ * \-#,##0.0_ ;_ * "-"?_ ;_ @_ </c:formatCode>
                <c:ptCount val="69"/>
                <c:pt idx="0">
                  <c:v>94.1</c:v>
                </c:pt>
                <c:pt idx="1">
                  <c:v>87.1</c:v>
                </c:pt>
                <c:pt idx="2">
                  <c:v>85.9</c:v>
                </c:pt>
                <c:pt idx="3">
                  <c:v>91.9</c:v>
                </c:pt>
                <c:pt idx="4">
                  <c:v>91</c:v>
                </c:pt>
                <c:pt idx="5">
                  <c:v>91.3</c:v>
                </c:pt>
                <c:pt idx="6">
                  <c:v>93.1</c:v>
                </c:pt>
                <c:pt idx="7">
                  <c:v>93.9</c:v>
                </c:pt>
                <c:pt idx="8">
                  <c:v>96.2</c:v>
                </c:pt>
                <c:pt idx="9">
                  <c:v>99.5</c:v>
                </c:pt>
                <c:pt idx="10">
                  <c:v>97.8</c:v>
                </c:pt>
                <c:pt idx="11">
                  <c:v>97.6</c:v>
                </c:pt>
                <c:pt idx="12">
                  <c:v>103.5</c:v>
                </c:pt>
                <c:pt idx="13">
                  <c:v>102.2</c:v>
                </c:pt>
                <c:pt idx="14">
                  <c:v>101.7</c:v>
                </c:pt>
                <c:pt idx="15">
                  <c:v>99.8</c:v>
                </c:pt>
                <c:pt idx="16">
                  <c:v>98</c:v>
                </c:pt>
                <c:pt idx="17">
                  <c:v>96.5</c:v>
                </c:pt>
                <c:pt idx="18">
                  <c:v>98.2</c:v>
                </c:pt>
                <c:pt idx="19">
                  <c:v>99.4</c:v>
                </c:pt>
                <c:pt idx="20">
                  <c:v>99</c:v>
                </c:pt>
                <c:pt idx="21">
                  <c:v>98.5</c:v>
                </c:pt>
                <c:pt idx="22">
                  <c:v>102.9</c:v>
                </c:pt>
                <c:pt idx="23">
                  <c:v>100.4</c:v>
                </c:pt>
                <c:pt idx="24">
                  <c:v>109.7</c:v>
                </c:pt>
                <c:pt idx="25">
                  <c:v>106.1</c:v>
                </c:pt>
                <c:pt idx="26">
                  <c:v>102.5</c:v>
                </c:pt>
                <c:pt idx="27">
                  <c:v>100.3</c:v>
                </c:pt>
                <c:pt idx="28">
                  <c:v>100</c:v>
                </c:pt>
                <c:pt idx="29">
                  <c:v>101.4</c:v>
                </c:pt>
                <c:pt idx="30">
                  <c:v>100.4</c:v>
                </c:pt>
                <c:pt idx="31">
                  <c:v>100.4</c:v>
                </c:pt>
                <c:pt idx="32">
                  <c:v>100.7</c:v>
                </c:pt>
                <c:pt idx="33">
                  <c:v>100.7</c:v>
                </c:pt>
                <c:pt idx="34">
                  <c:v>100.3</c:v>
                </c:pt>
                <c:pt idx="35">
                  <c:v>101.1</c:v>
                </c:pt>
                <c:pt idx="36">
                  <c:v>98.6</c:v>
                </c:pt>
                <c:pt idx="37">
                  <c:v>100.2</c:v>
                </c:pt>
                <c:pt idx="38">
                  <c:v>102.6</c:v>
                </c:pt>
                <c:pt idx="39">
                  <c:v>102.2</c:v>
                </c:pt>
                <c:pt idx="40">
                  <c:v>101.5</c:v>
                </c:pt>
                <c:pt idx="41">
                  <c:v>99.9</c:v>
                </c:pt>
                <c:pt idx="42">
                  <c:v>100</c:v>
                </c:pt>
                <c:pt idx="43">
                  <c:v>98.4</c:v>
                </c:pt>
                <c:pt idx="44">
                  <c:v>96.3</c:v>
                </c:pt>
                <c:pt idx="45">
                  <c:v>95.9</c:v>
                </c:pt>
                <c:pt idx="46">
                  <c:v>96.4</c:v>
                </c:pt>
                <c:pt idx="47">
                  <c:v>97</c:v>
                </c:pt>
                <c:pt idx="48" formatCode="0.0_);[Red]\(0.0\)">
                  <c:v>99.2</c:v>
                </c:pt>
                <c:pt idx="49" formatCode="0.0_);[Red]\(0.0\)">
                  <c:v>100.2</c:v>
                </c:pt>
                <c:pt idx="50" formatCode="0.0_);[Red]\(0.0\)">
                  <c:v>101</c:v>
                </c:pt>
                <c:pt idx="51" formatCode="0.0_);[Red]\(0.0\)">
                  <c:v>99.4</c:v>
                </c:pt>
                <c:pt idx="52" formatCode="0.0_);[Red]\(0.0\)">
                  <c:v>101.5</c:v>
                </c:pt>
                <c:pt idx="53" formatCode="0.0_);[Red]\(0.0\)">
                  <c:v>100.2</c:v>
                </c:pt>
                <c:pt idx="54" formatCode="0.0_);[Red]\(0.0\)">
                  <c:v>101.7</c:v>
                </c:pt>
                <c:pt idx="55" formatCode="0.0_);[Red]\(0.0\)">
                  <c:v>97.4</c:v>
                </c:pt>
                <c:pt idx="56" formatCode="0.0_);[Red]\(0.0\)">
                  <c:v>100.8</c:v>
                </c:pt>
                <c:pt idx="57" formatCode="0.0_);[Red]\(0.0\)">
                  <c:v>100.8</c:v>
                </c:pt>
                <c:pt idx="58" formatCode="0.0_);[Red]\(0.0\)">
                  <c:v>100.2</c:v>
                </c:pt>
                <c:pt idx="59" formatCode="0.0_);[Red]\(0.0\)">
                  <c:v>102.7</c:v>
                </c:pt>
                <c:pt idx="60" formatCode="0.0_);[Red]\(0.0\)">
                  <c:v>102.9</c:v>
                </c:pt>
                <c:pt idx="61" formatCode="0.0_);[Red]\(0.0\)">
                  <c:v>105.4</c:v>
                </c:pt>
                <c:pt idx="62" formatCode="0.0_);[Red]\(0.0\)">
                  <c:v>106</c:v>
                </c:pt>
                <c:pt idx="63" formatCode="0.0_);[Red]\(0.0\)">
                  <c:v>102.2</c:v>
                </c:pt>
                <c:pt idx="64" formatCode="0.0_);[Red]\(0.0\)">
                  <c:v>102.1</c:v>
                </c:pt>
                <c:pt idx="65" formatCode="0.0_);[Red]\(0.0\)">
                  <c:v>98.7</c:v>
                </c:pt>
                <c:pt idx="66" formatCode="0.0_);[Red]\(0.0\)">
                  <c:v>100</c:v>
                </c:pt>
                <c:pt idx="67" formatCode="0.0_);[Red]\(0.0\)">
                  <c:v>98.5</c:v>
                </c:pt>
                <c:pt idx="68" formatCode="0.0_);[Red]\(0.0\)">
                  <c:v>102.6</c:v>
                </c:pt>
              </c:numCache>
            </c:numRef>
          </c:val>
          <c:smooth val="0"/>
        </c:ser>
        <c:ser>
          <c:idx val="1"/>
          <c:order val="1"/>
          <c:tx>
            <c:strRef>
              <c:f>Sheet2!$D$5</c:f>
              <c:strCache>
                <c:ptCount val="1"/>
                <c:pt idx="0">
                  <c:v>全国</c:v>
                </c:pt>
              </c:strCache>
            </c:strRef>
          </c:tx>
          <c:marker>
            <c:symbol val="square"/>
            <c:size val="5"/>
          </c:marker>
          <c:dPt>
            <c:idx val="26"/>
            <c:marker>
              <c:symbol val="square"/>
              <c:size val="3"/>
            </c:marker>
            <c:bubble3D val="0"/>
          </c:dPt>
          <c:cat>
            <c:strRef>
              <c:f>Sheet2!$B$6:$B$74</c:f>
              <c:strCache>
                <c:ptCount val="61"/>
                <c:pt idx="0">
                  <c:v>09年</c:v>
                </c:pt>
                <c:pt idx="12">
                  <c:v>10年</c:v>
                </c:pt>
                <c:pt idx="24">
                  <c:v>11年</c:v>
                </c:pt>
                <c:pt idx="36">
                  <c:v>12年</c:v>
                </c:pt>
                <c:pt idx="48">
                  <c:v>13年</c:v>
                </c:pt>
                <c:pt idx="60">
                  <c:v>14年</c:v>
                </c:pt>
              </c:strCache>
            </c:strRef>
          </c:cat>
          <c:val>
            <c:numRef>
              <c:f>Sheet2!$D$6:$D$74</c:f>
              <c:numCache>
                <c:formatCode>General</c:formatCode>
                <c:ptCount val="69"/>
                <c:pt idx="0">
                  <c:v>83.8</c:v>
                </c:pt>
                <c:pt idx="1">
                  <c:v>76.599999999999994</c:v>
                </c:pt>
                <c:pt idx="2">
                  <c:v>77.599999999999994</c:v>
                </c:pt>
                <c:pt idx="3">
                  <c:v>81</c:v>
                </c:pt>
                <c:pt idx="4">
                  <c:v>84</c:v>
                </c:pt>
                <c:pt idx="5">
                  <c:v>85.6</c:v>
                </c:pt>
                <c:pt idx="6">
                  <c:v>86.7</c:v>
                </c:pt>
                <c:pt idx="7">
                  <c:v>88</c:v>
                </c:pt>
                <c:pt idx="8">
                  <c:v>91</c:v>
                </c:pt>
                <c:pt idx="9">
                  <c:v>93.3</c:v>
                </c:pt>
                <c:pt idx="10">
                  <c:v>95.3</c:v>
                </c:pt>
                <c:pt idx="11">
                  <c:v>96.1</c:v>
                </c:pt>
                <c:pt idx="12">
                  <c:v>98.5</c:v>
                </c:pt>
                <c:pt idx="13">
                  <c:v>98</c:v>
                </c:pt>
                <c:pt idx="14">
                  <c:v>99.1</c:v>
                </c:pt>
                <c:pt idx="15">
                  <c:v>100.2</c:v>
                </c:pt>
                <c:pt idx="16">
                  <c:v>100</c:v>
                </c:pt>
                <c:pt idx="17">
                  <c:v>99.2</c:v>
                </c:pt>
                <c:pt idx="18">
                  <c:v>100.3</c:v>
                </c:pt>
                <c:pt idx="19">
                  <c:v>100.7</c:v>
                </c:pt>
                <c:pt idx="20">
                  <c:v>102.3</c:v>
                </c:pt>
                <c:pt idx="21">
                  <c:v>99.4</c:v>
                </c:pt>
                <c:pt idx="22">
                  <c:v>101</c:v>
                </c:pt>
                <c:pt idx="23">
                  <c:v>101.6</c:v>
                </c:pt>
                <c:pt idx="24">
                  <c:v>102.1</c:v>
                </c:pt>
                <c:pt idx="25">
                  <c:v>102.7</c:v>
                </c:pt>
                <c:pt idx="26">
                  <c:v>85.8</c:v>
                </c:pt>
                <c:pt idx="27">
                  <c:v>87.6</c:v>
                </c:pt>
                <c:pt idx="28">
                  <c:v>93.6</c:v>
                </c:pt>
                <c:pt idx="29">
                  <c:v>97.5</c:v>
                </c:pt>
                <c:pt idx="30">
                  <c:v>98.7</c:v>
                </c:pt>
                <c:pt idx="31">
                  <c:v>100.4</c:v>
                </c:pt>
                <c:pt idx="32">
                  <c:v>99.5</c:v>
                </c:pt>
                <c:pt idx="33">
                  <c:v>101.3</c:v>
                </c:pt>
                <c:pt idx="34">
                  <c:v>99.1</c:v>
                </c:pt>
                <c:pt idx="35">
                  <c:v>101.1</c:v>
                </c:pt>
                <c:pt idx="36">
                  <c:v>101.5</c:v>
                </c:pt>
                <c:pt idx="37">
                  <c:v>101.3</c:v>
                </c:pt>
                <c:pt idx="38">
                  <c:v>101.1</c:v>
                </c:pt>
                <c:pt idx="39">
                  <c:v>100.6</c:v>
                </c:pt>
                <c:pt idx="40">
                  <c:v>98.8</c:v>
                </c:pt>
                <c:pt idx="41">
                  <c:v>98</c:v>
                </c:pt>
                <c:pt idx="42">
                  <c:v>97.5</c:v>
                </c:pt>
                <c:pt idx="43">
                  <c:v>96.1</c:v>
                </c:pt>
                <c:pt idx="44">
                  <c:v>94</c:v>
                </c:pt>
                <c:pt idx="45">
                  <c:v>94.3</c:v>
                </c:pt>
                <c:pt idx="46">
                  <c:v>93.4</c:v>
                </c:pt>
                <c:pt idx="47">
                  <c:v>94.7</c:v>
                </c:pt>
                <c:pt idx="48">
                  <c:v>94</c:v>
                </c:pt>
                <c:pt idx="49">
                  <c:v>94.8</c:v>
                </c:pt>
                <c:pt idx="50">
                  <c:v>95.1</c:v>
                </c:pt>
                <c:pt idx="51">
                  <c:v>95.7</c:v>
                </c:pt>
                <c:pt idx="52">
                  <c:v>97.7</c:v>
                </c:pt>
                <c:pt idx="53">
                  <c:v>95</c:v>
                </c:pt>
                <c:pt idx="54">
                  <c:v>97.6</c:v>
                </c:pt>
                <c:pt idx="55">
                  <c:v>97.1</c:v>
                </c:pt>
                <c:pt idx="56">
                  <c:v>98.6</c:v>
                </c:pt>
                <c:pt idx="57">
                  <c:v>99.2</c:v>
                </c:pt>
                <c:pt idx="58">
                  <c:v>99.5</c:v>
                </c:pt>
                <c:pt idx="59">
                  <c:v>100</c:v>
                </c:pt>
                <c:pt idx="60">
                  <c:v>103.9</c:v>
                </c:pt>
                <c:pt idx="61">
                  <c:v>101.5</c:v>
                </c:pt>
                <c:pt idx="62">
                  <c:v>102.2</c:v>
                </c:pt>
                <c:pt idx="63">
                  <c:v>99.3</c:v>
                </c:pt>
                <c:pt idx="64">
                  <c:v>100</c:v>
                </c:pt>
                <c:pt idx="65">
                  <c:v>96.6</c:v>
                </c:pt>
                <c:pt idx="66">
                  <c:v>97</c:v>
                </c:pt>
                <c:pt idx="67">
                  <c:v>95.2</c:v>
                </c:pt>
                <c:pt idx="68">
                  <c:v>98</c:v>
                </c:pt>
              </c:numCache>
            </c:numRef>
          </c:val>
          <c:smooth val="0"/>
        </c:ser>
        <c:dLbls>
          <c:showLegendKey val="0"/>
          <c:showVal val="0"/>
          <c:showCatName val="0"/>
          <c:showSerName val="0"/>
          <c:showPercent val="0"/>
          <c:showBubbleSize val="0"/>
        </c:dLbls>
        <c:marker val="1"/>
        <c:smooth val="0"/>
        <c:axId val="115694208"/>
        <c:axId val="115704192"/>
      </c:lineChart>
      <c:catAx>
        <c:axId val="115694208"/>
        <c:scaling>
          <c:orientation val="minMax"/>
        </c:scaling>
        <c:delete val="0"/>
        <c:axPos val="b"/>
        <c:majorTickMark val="out"/>
        <c:minorTickMark val="none"/>
        <c:tickLblPos val="nextTo"/>
        <c:crossAx val="115704192"/>
        <c:crosses val="autoZero"/>
        <c:auto val="1"/>
        <c:lblAlgn val="ctr"/>
        <c:lblOffset val="100"/>
        <c:noMultiLvlLbl val="0"/>
      </c:catAx>
      <c:valAx>
        <c:axId val="115704192"/>
        <c:scaling>
          <c:orientation val="minMax"/>
          <c:min val="70"/>
        </c:scaling>
        <c:delete val="0"/>
        <c:axPos val="l"/>
        <c:majorGridlines/>
        <c:numFmt formatCode="_ * #,##0.0_ ;_ * \-#,##0.0_ ;_ * &quot;-&quot;?_ ;_ @_ " sourceLinked="1"/>
        <c:majorTickMark val="out"/>
        <c:minorTickMark val="none"/>
        <c:tickLblPos val="nextTo"/>
        <c:crossAx val="115694208"/>
        <c:crosses val="autoZero"/>
        <c:crossBetween val="between"/>
      </c:valAx>
    </c:plotArea>
    <c:legend>
      <c:legendPos val="r"/>
      <c:layout/>
      <c:overlay val="0"/>
    </c:legend>
    <c:plotVisOnly val="1"/>
    <c:dispBlanksAs val="gap"/>
    <c:showDLblsOverMax val="0"/>
  </c:chart>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ja-JP"/>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tx>
            <c:strRef>
              <c:f>Sheet3!$T$33</c:f>
              <c:strCache>
                <c:ptCount val="1"/>
                <c:pt idx="0">
                  <c:v>福岡県</c:v>
                </c:pt>
              </c:strCache>
            </c:strRef>
          </c:tx>
          <c:cat>
            <c:strRef>
              <c:f>Sheet3!$S$34:$S$59</c:f>
              <c:strCache>
                <c:ptCount val="18"/>
                <c:pt idx="0">
                  <c:v>12年</c:v>
                </c:pt>
                <c:pt idx="5">
                  <c:v>13年</c:v>
                </c:pt>
                <c:pt idx="17">
                  <c:v>14年 </c:v>
                </c:pt>
              </c:strCache>
            </c:strRef>
          </c:cat>
          <c:val>
            <c:numRef>
              <c:f>Sheet3!$T$34:$T$59</c:f>
              <c:numCache>
                <c:formatCode>General</c:formatCode>
                <c:ptCount val="26"/>
                <c:pt idx="0">
                  <c:v>-3.2</c:v>
                </c:pt>
                <c:pt idx="1">
                  <c:v>0.3</c:v>
                </c:pt>
                <c:pt idx="2">
                  <c:v>0.7</c:v>
                </c:pt>
                <c:pt idx="3">
                  <c:v>-0.7</c:v>
                </c:pt>
                <c:pt idx="4">
                  <c:v>-4.2</c:v>
                </c:pt>
                <c:pt idx="5">
                  <c:v>1.2</c:v>
                </c:pt>
                <c:pt idx="6">
                  <c:v>1.2</c:v>
                </c:pt>
                <c:pt idx="7">
                  <c:v>3</c:v>
                </c:pt>
                <c:pt idx="8">
                  <c:v>0.8</c:v>
                </c:pt>
                <c:pt idx="9">
                  <c:v>0.7</c:v>
                </c:pt>
                <c:pt idx="10">
                  <c:v>1.4</c:v>
                </c:pt>
                <c:pt idx="11">
                  <c:v>0.6</c:v>
                </c:pt>
                <c:pt idx="12">
                  <c:v>-1.2</c:v>
                </c:pt>
                <c:pt idx="13">
                  <c:v>-1.6</c:v>
                </c:pt>
                <c:pt idx="14">
                  <c:v>0</c:v>
                </c:pt>
                <c:pt idx="15">
                  <c:v>-0.6</c:v>
                </c:pt>
                <c:pt idx="16">
                  <c:v>1.8</c:v>
                </c:pt>
                <c:pt idx="17">
                  <c:v>-0.7</c:v>
                </c:pt>
                <c:pt idx="18">
                  <c:v>-0.1</c:v>
                </c:pt>
                <c:pt idx="19">
                  <c:v>1.1000000000000001</c:v>
                </c:pt>
                <c:pt idx="20">
                  <c:v>0.4</c:v>
                </c:pt>
                <c:pt idx="21">
                  <c:v>0.8</c:v>
                </c:pt>
                <c:pt idx="22">
                  <c:v>-2</c:v>
                </c:pt>
                <c:pt idx="23">
                  <c:v>-1.5</c:v>
                </c:pt>
                <c:pt idx="24">
                  <c:v>-2.6</c:v>
                </c:pt>
              </c:numCache>
            </c:numRef>
          </c:val>
          <c:smooth val="0"/>
        </c:ser>
        <c:ser>
          <c:idx val="1"/>
          <c:order val="1"/>
          <c:tx>
            <c:strRef>
              <c:f>Sheet3!$U$33</c:f>
              <c:strCache>
                <c:ptCount val="1"/>
                <c:pt idx="0">
                  <c:v>全国</c:v>
                </c:pt>
              </c:strCache>
            </c:strRef>
          </c:tx>
          <c:cat>
            <c:strRef>
              <c:f>Sheet3!$S$34:$S$59</c:f>
              <c:strCache>
                <c:ptCount val="18"/>
                <c:pt idx="0">
                  <c:v>12年</c:v>
                </c:pt>
                <c:pt idx="5">
                  <c:v>13年</c:v>
                </c:pt>
                <c:pt idx="17">
                  <c:v>14年 </c:v>
                </c:pt>
              </c:strCache>
            </c:strRef>
          </c:cat>
          <c:val>
            <c:numRef>
              <c:f>Sheet3!$U$34:$U$59</c:f>
              <c:numCache>
                <c:formatCode>General</c:formatCode>
                <c:ptCount val="26"/>
                <c:pt idx="0">
                  <c:v>0.5</c:v>
                </c:pt>
                <c:pt idx="1">
                  <c:v>-0.2</c:v>
                </c:pt>
                <c:pt idx="2">
                  <c:v>0</c:v>
                </c:pt>
                <c:pt idx="3">
                  <c:v>-0.7</c:v>
                </c:pt>
                <c:pt idx="4">
                  <c:v>-1.6</c:v>
                </c:pt>
                <c:pt idx="5">
                  <c:v>0.4</c:v>
                </c:pt>
                <c:pt idx="6">
                  <c:v>-0.1</c:v>
                </c:pt>
                <c:pt idx="7">
                  <c:v>0</c:v>
                </c:pt>
                <c:pt idx="8">
                  <c:v>0.7</c:v>
                </c:pt>
                <c:pt idx="9">
                  <c:v>0.2</c:v>
                </c:pt>
                <c:pt idx="10">
                  <c:v>0.3</c:v>
                </c:pt>
                <c:pt idx="11">
                  <c:v>-1</c:v>
                </c:pt>
                <c:pt idx="12">
                  <c:v>2</c:v>
                </c:pt>
                <c:pt idx="13">
                  <c:v>-1.5</c:v>
                </c:pt>
                <c:pt idx="14">
                  <c:v>-1.5</c:v>
                </c:pt>
                <c:pt idx="15">
                  <c:v>-1.4</c:v>
                </c:pt>
                <c:pt idx="16">
                  <c:v>-1.3</c:v>
                </c:pt>
                <c:pt idx="17">
                  <c:v>-1.8</c:v>
                </c:pt>
                <c:pt idx="18">
                  <c:v>-2</c:v>
                </c:pt>
                <c:pt idx="19">
                  <c:v>-1.3</c:v>
                </c:pt>
                <c:pt idx="20">
                  <c:v>-3.4</c:v>
                </c:pt>
                <c:pt idx="21">
                  <c:v>-3.8</c:v>
                </c:pt>
                <c:pt idx="22">
                  <c:v>-3.2</c:v>
                </c:pt>
                <c:pt idx="23">
                  <c:v>-1.7</c:v>
                </c:pt>
                <c:pt idx="24">
                  <c:v>-3.1</c:v>
                </c:pt>
                <c:pt idx="25">
                  <c:v>-3</c:v>
                </c:pt>
              </c:numCache>
            </c:numRef>
          </c:val>
          <c:smooth val="0"/>
        </c:ser>
        <c:dLbls>
          <c:showLegendKey val="0"/>
          <c:showVal val="0"/>
          <c:showCatName val="0"/>
          <c:showSerName val="0"/>
          <c:showPercent val="0"/>
          <c:showBubbleSize val="0"/>
        </c:dLbls>
        <c:marker val="1"/>
        <c:smooth val="0"/>
        <c:axId val="115732864"/>
        <c:axId val="115734784"/>
      </c:lineChart>
      <c:catAx>
        <c:axId val="115732864"/>
        <c:scaling>
          <c:orientation val="minMax"/>
        </c:scaling>
        <c:delete val="0"/>
        <c:axPos val="b"/>
        <c:title>
          <c:tx>
            <c:rich>
              <a:bodyPr/>
              <a:lstStyle/>
              <a:p>
                <a:pPr>
                  <a:defRPr/>
                </a:pPr>
                <a:r>
                  <a:rPr lang="ja-JP" altLang="en-US"/>
                  <a:t>年</a:t>
                </a:r>
                <a:r>
                  <a:rPr lang="en-US" altLang="ja-JP"/>
                  <a:t>(</a:t>
                </a:r>
                <a:r>
                  <a:rPr lang="ja-JP" altLang="en-US"/>
                  <a:t>月別）</a:t>
                </a:r>
              </a:p>
            </c:rich>
          </c:tx>
          <c:layout/>
          <c:overlay val="0"/>
        </c:title>
        <c:majorTickMark val="out"/>
        <c:minorTickMark val="none"/>
        <c:tickLblPos val="nextTo"/>
        <c:crossAx val="115734784"/>
        <c:crosses val="autoZero"/>
        <c:auto val="1"/>
        <c:lblAlgn val="ctr"/>
        <c:lblOffset val="100"/>
        <c:noMultiLvlLbl val="0"/>
      </c:catAx>
      <c:valAx>
        <c:axId val="115734784"/>
        <c:scaling>
          <c:orientation val="minMax"/>
        </c:scaling>
        <c:delete val="0"/>
        <c:axPos val="l"/>
        <c:majorGridlines/>
        <c:title>
          <c:tx>
            <c:rich>
              <a:bodyPr rot="0" vert="wordArtVertRtl"/>
              <a:lstStyle/>
              <a:p>
                <a:pPr>
                  <a:defRPr/>
                </a:pPr>
                <a:r>
                  <a:rPr lang="ja-JP" altLang="en-US"/>
                  <a:t>（％）</a:t>
                </a:r>
              </a:p>
            </c:rich>
          </c:tx>
          <c:layout/>
          <c:overlay val="0"/>
        </c:title>
        <c:numFmt formatCode="General" sourceLinked="1"/>
        <c:majorTickMark val="out"/>
        <c:minorTickMark val="none"/>
        <c:tickLblPos val="nextTo"/>
        <c:crossAx val="115732864"/>
        <c:crosses val="autoZero"/>
        <c:crossBetween val="between"/>
      </c:valAx>
    </c:plotArea>
    <c:legend>
      <c:legendPos val="t"/>
      <c:layout/>
      <c:overlay val="0"/>
    </c:legend>
    <c:plotVisOnly val="1"/>
    <c:dispBlanksAs val="gap"/>
    <c:showDLblsOverMax val="0"/>
  </c:chart>
  <c:txPr>
    <a:bodyPr/>
    <a:lstStyle/>
    <a:p>
      <a:pPr>
        <a:defRPr sz="1200">
          <a:latin typeface="+mj-ea"/>
          <a:ea typeface="+mj-ea"/>
        </a:defRPr>
      </a:pPr>
      <a:endParaRPr lang="ja-JP"/>
    </a:p>
  </c:txPr>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ja-JP"/>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tx>
            <c:strRef>
              <c:f>Sheet3!$AE$37</c:f>
              <c:strCache>
                <c:ptCount val="1"/>
                <c:pt idx="0">
                  <c:v>福岡県</c:v>
                </c:pt>
              </c:strCache>
            </c:strRef>
          </c:tx>
          <c:marker>
            <c:symbol val="diamond"/>
            <c:size val="5"/>
          </c:marker>
          <c:cat>
            <c:strRef>
              <c:f>Sheet3!$AD$38:$AD$106</c:f>
              <c:strCache>
                <c:ptCount val="61"/>
                <c:pt idx="0">
                  <c:v>09年</c:v>
                </c:pt>
                <c:pt idx="12">
                  <c:v>10年</c:v>
                </c:pt>
                <c:pt idx="24">
                  <c:v>11年</c:v>
                </c:pt>
                <c:pt idx="36">
                  <c:v>12年</c:v>
                </c:pt>
                <c:pt idx="48">
                  <c:v>13年</c:v>
                </c:pt>
                <c:pt idx="60">
                  <c:v>14年</c:v>
                </c:pt>
              </c:strCache>
            </c:strRef>
          </c:cat>
          <c:val>
            <c:numRef>
              <c:f>Sheet3!$AE$38:$AE$106</c:f>
              <c:numCache>
                <c:formatCode>General</c:formatCode>
                <c:ptCount val="69"/>
                <c:pt idx="0">
                  <c:v>78.3</c:v>
                </c:pt>
                <c:pt idx="1">
                  <c:v>67.900000000000006</c:v>
                </c:pt>
                <c:pt idx="2">
                  <c:v>71.5</c:v>
                </c:pt>
                <c:pt idx="3">
                  <c:v>79.7</c:v>
                </c:pt>
                <c:pt idx="4">
                  <c:v>84.5</c:v>
                </c:pt>
                <c:pt idx="5">
                  <c:v>84.8</c:v>
                </c:pt>
                <c:pt idx="6">
                  <c:v>85.4</c:v>
                </c:pt>
                <c:pt idx="7">
                  <c:v>87.5</c:v>
                </c:pt>
                <c:pt idx="8">
                  <c:v>89.4</c:v>
                </c:pt>
                <c:pt idx="9">
                  <c:v>90.6</c:v>
                </c:pt>
                <c:pt idx="10">
                  <c:v>93.3</c:v>
                </c:pt>
                <c:pt idx="11">
                  <c:v>94.5</c:v>
                </c:pt>
                <c:pt idx="12">
                  <c:v>99.5</c:v>
                </c:pt>
                <c:pt idx="13">
                  <c:v>99.9</c:v>
                </c:pt>
                <c:pt idx="14">
                  <c:v>100.3</c:v>
                </c:pt>
                <c:pt idx="15">
                  <c:v>100</c:v>
                </c:pt>
                <c:pt idx="16">
                  <c:v>99.6</c:v>
                </c:pt>
                <c:pt idx="17">
                  <c:v>99.1</c:v>
                </c:pt>
                <c:pt idx="18">
                  <c:v>98</c:v>
                </c:pt>
                <c:pt idx="19">
                  <c:v>103</c:v>
                </c:pt>
                <c:pt idx="20">
                  <c:v>102.3</c:v>
                </c:pt>
                <c:pt idx="21">
                  <c:v>95</c:v>
                </c:pt>
                <c:pt idx="22">
                  <c:v>100.4</c:v>
                </c:pt>
                <c:pt idx="23">
                  <c:v>103.4</c:v>
                </c:pt>
                <c:pt idx="24">
                  <c:v>104.3</c:v>
                </c:pt>
                <c:pt idx="25">
                  <c:v>107.7</c:v>
                </c:pt>
                <c:pt idx="26">
                  <c:v>88.5</c:v>
                </c:pt>
                <c:pt idx="27">
                  <c:v>84.9</c:v>
                </c:pt>
                <c:pt idx="28">
                  <c:v>98.1</c:v>
                </c:pt>
                <c:pt idx="29">
                  <c:v>101.9</c:v>
                </c:pt>
                <c:pt idx="30">
                  <c:v>105.5</c:v>
                </c:pt>
                <c:pt idx="31">
                  <c:v>104.6</c:v>
                </c:pt>
                <c:pt idx="32">
                  <c:v>103.8</c:v>
                </c:pt>
                <c:pt idx="33">
                  <c:v>106.8</c:v>
                </c:pt>
                <c:pt idx="34">
                  <c:v>106.3</c:v>
                </c:pt>
                <c:pt idx="35">
                  <c:v>110.5</c:v>
                </c:pt>
                <c:pt idx="36">
                  <c:v>109.4</c:v>
                </c:pt>
                <c:pt idx="37">
                  <c:v>106.9</c:v>
                </c:pt>
                <c:pt idx="38">
                  <c:v>106.7</c:v>
                </c:pt>
                <c:pt idx="39">
                  <c:v>104.1</c:v>
                </c:pt>
                <c:pt idx="40">
                  <c:v>105.8</c:v>
                </c:pt>
                <c:pt idx="41">
                  <c:v>104.8</c:v>
                </c:pt>
                <c:pt idx="42">
                  <c:v>109.2</c:v>
                </c:pt>
                <c:pt idx="43">
                  <c:v>109</c:v>
                </c:pt>
                <c:pt idx="44">
                  <c:v>107.8</c:v>
                </c:pt>
                <c:pt idx="45">
                  <c:v>106.4</c:v>
                </c:pt>
                <c:pt idx="46">
                  <c:v>108.2</c:v>
                </c:pt>
                <c:pt idx="47">
                  <c:v>106.1</c:v>
                </c:pt>
                <c:pt idx="48">
                  <c:v>103.3</c:v>
                </c:pt>
                <c:pt idx="49">
                  <c:v>105.7</c:v>
                </c:pt>
                <c:pt idx="50">
                  <c:v>103.3</c:v>
                </c:pt>
                <c:pt idx="51">
                  <c:v>106.2</c:v>
                </c:pt>
                <c:pt idx="52">
                  <c:v>101.4</c:v>
                </c:pt>
                <c:pt idx="53">
                  <c:v>107.5</c:v>
                </c:pt>
                <c:pt idx="54">
                  <c:v>106.3</c:v>
                </c:pt>
                <c:pt idx="55">
                  <c:v>103.5</c:v>
                </c:pt>
                <c:pt idx="56">
                  <c:v>104.2</c:v>
                </c:pt>
                <c:pt idx="57">
                  <c:v>100.9</c:v>
                </c:pt>
                <c:pt idx="58">
                  <c:v>102.1</c:v>
                </c:pt>
                <c:pt idx="59">
                  <c:v>103.2</c:v>
                </c:pt>
                <c:pt idx="60">
                  <c:v>108.4</c:v>
                </c:pt>
                <c:pt idx="61">
                  <c:v>110.4</c:v>
                </c:pt>
                <c:pt idx="62">
                  <c:v>112</c:v>
                </c:pt>
                <c:pt idx="63">
                  <c:v>102.6</c:v>
                </c:pt>
                <c:pt idx="64">
                  <c:v>107.2</c:v>
                </c:pt>
                <c:pt idx="65">
                  <c:v>106.3</c:v>
                </c:pt>
                <c:pt idx="66">
                  <c:v>99.4</c:v>
                </c:pt>
                <c:pt idx="67">
                  <c:v>101.9</c:v>
                </c:pt>
              </c:numCache>
            </c:numRef>
          </c:val>
          <c:smooth val="0"/>
        </c:ser>
        <c:ser>
          <c:idx val="1"/>
          <c:order val="1"/>
          <c:tx>
            <c:strRef>
              <c:f>Sheet3!$AF$37</c:f>
              <c:strCache>
                <c:ptCount val="1"/>
                <c:pt idx="0">
                  <c:v>全国</c:v>
                </c:pt>
              </c:strCache>
            </c:strRef>
          </c:tx>
          <c:marker>
            <c:symbol val="square"/>
            <c:size val="3"/>
          </c:marker>
          <c:cat>
            <c:strRef>
              <c:f>Sheet3!$AD$38:$AD$106</c:f>
              <c:strCache>
                <c:ptCount val="61"/>
                <c:pt idx="0">
                  <c:v>09年</c:v>
                </c:pt>
                <c:pt idx="12">
                  <c:v>10年</c:v>
                </c:pt>
                <c:pt idx="24">
                  <c:v>11年</c:v>
                </c:pt>
                <c:pt idx="36">
                  <c:v>12年</c:v>
                </c:pt>
                <c:pt idx="48">
                  <c:v>13年</c:v>
                </c:pt>
                <c:pt idx="60">
                  <c:v>14年</c:v>
                </c:pt>
              </c:strCache>
            </c:strRef>
          </c:cat>
          <c:val>
            <c:numRef>
              <c:f>Sheet3!$AF$38:$AF$106</c:f>
              <c:numCache>
                <c:formatCode>General</c:formatCode>
                <c:ptCount val="69"/>
                <c:pt idx="0">
                  <c:v>83.8</c:v>
                </c:pt>
                <c:pt idx="1">
                  <c:v>76.599999999999994</c:v>
                </c:pt>
                <c:pt idx="2">
                  <c:v>77.599999999999994</c:v>
                </c:pt>
                <c:pt idx="3">
                  <c:v>81</c:v>
                </c:pt>
                <c:pt idx="4">
                  <c:v>84</c:v>
                </c:pt>
                <c:pt idx="5">
                  <c:v>85.6</c:v>
                </c:pt>
                <c:pt idx="6">
                  <c:v>86.7</c:v>
                </c:pt>
                <c:pt idx="7">
                  <c:v>88</c:v>
                </c:pt>
                <c:pt idx="8">
                  <c:v>91</c:v>
                </c:pt>
                <c:pt idx="9">
                  <c:v>93.3</c:v>
                </c:pt>
                <c:pt idx="10">
                  <c:v>95.3</c:v>
                </c:pt>
                <c:pt idx="11">
                  <c:v>96.1</c:v>
                </c:pt>
                <c:pt idx="12">
                  <c:v>98.5</c:v>
                </c:pt>
                <c:pt idx="13">
                  <c:v>98</c:v>
                </c:pt>
                <c:pt idx="14">
                  <c:v>99.1</c:v>
                </c:pt>
                <c:pt idx="15">
                  <c:v>100.2</c:v>
                </c:pt>
                <c:pt idx="16">
                  <c:v>100</c:v>
                </c:pt>
                <c:pt idx="17">
                  <c:v>99.2</c:v>
                </c:pt>
                <c:pt idx="18">
                  <c:v>100.3</c:v>
                </c:pt>
                <c:pt idx="19">
                  <c:v>100.7</c:v>
                </c:pt>
                <c:pt idx="20">
                  <c:v>102.3</c:v>
                </c:pt>
                <c:pt idx="21">
                  <c:v>99.4</c:v>
                </c:pt>
                <c:pt idx="22">
                  <c:v>101</c:v>
                </c:pt>
                <c:pt idx="23">
                  <c:v>101.6</c:v>
                </c:pt>
                <c:pt idx="24">
                  <c:v>102.1</c:v>
                </c:pt>
                <c:pt idx="25">
                  <c:v>102.7</c:v>
                </c:pt>
                <c:pt idx="26">
                  <c:v>85.8</c:v>
                </c:pt>
                <c:pt idx="27">
                  <c:v>87.6</c:v>
                </c:pt>
                <c:pt idx="28">
                  <c:v>93.6</c:v>
                </c:pt>
                <c:pt idx="29">
                  <c:v>97.5</c:v>
                </c:pt>
                <c:pt idx="30">
                  <c:v>98.7</c:v>
                </c:pt>
                <c:pt idx="31">
                  <c:v>100.4</c:v>
                </c:pt>
                <c:pt idx="32">
                  <c:v>99.5</c:v>
                </c:pt>
                <c:pt idx="33">
                  <c:v>101.3</c:v>
                </c:pt>
                <c:pt idx="34">
                  <c:v>99.1</c:v>
                </c:pt>
                <c:pt idx="35">
                  <c:v>101.1</c:v>
                </c:pt>
                <c:pt idx="36">
                  <c:v>101.5</c:v>
                </c:pt>
                <c:pt idx="37">
                  <c:v>101.3</c:v>
                </c:pt>
                <c:pt idx="38">
                  <c:v>101.1</c:v>
                </c:pt>
                <c:pt idx="39">
                  <c:v>100.6</c:v>
                </c:pt>
                <c:pt idx="40">
                  <c:v>98.8</c:v>
                </c:pt>
                <c:pt idx="41">
                  <c:v>98</c:v>
                </c:pt>
                <c:pt idx="42">
                  <c:v>97.5</c:v>
                </c:pt>
                <c:pt idx="43">
                  <c:v>96.1</c:v>
                </c:pt>
                <c:pt idx="44">
                  <c:v>94</c:v>
                </c:pt>
                <c:pt idx="45">
                  <c:v>94.3</c:v>
                </c:pt>
                <c:pt idx="46">
                  <c:v>93.4</c:v>
                </c:pt>
                <c:pt idx="47">
                  <c:v>94.7</c:v>
                </c:pt>
                <c:pt idx="48">
                  <c:v>94</c:v>
                </c:pt>
                <c:pt idx="49">
                  <c:v>94.8</c:v>
                </c:pt>
                <c:pt idx="50">
                  <c:v>95.1</c:v>
                </c:pt>
                <c:pt idx="51">
                  <c:v>95.7</c:v>
                </c:pt>
                <c:pt idx="52">
                  <c:v>97.7</c:v>
                </c:pt>
                <c:pt idx="53">
                  <c:v>95</c:v>
                </c:pt>
                <c:pt idx="54">
                  <c:v>97.6</c:v>
                </c:pt>
                <c:pt idx="55">
                  <c:v>97.1</c:v>
                </c:pt>
                <c:pt idx="56">
                  <c:v>98.6</c:v>
                </c:pt>
                <c:pt idx="57">
                  <c:v>99.2</c:v>
                </c:pt>
                <c:pt idx="58">
                  <c:v>99.5</c:v>
                </c:pt>
                <c:pt idx="59">
                  <c:v>100</c:v>
                </c:pt>
                <c:pt idx="60">
                  <c:v>103.9</c:v>
                </c:pt>
                <c:pt idx="61">
                  <c:v>101.5</c:v>
                </c:pt>
                <c:pt idx="62">
                  <c:v>102.2</c:v>
                </c:pt>
                <c:pt idx="63">
                  <c:v>99.3</c:v>
                </c:pt>
                <c:pt idx="64">
                  <c:v>100</c:v>
                </c:pt>
                <c:pt idx="65">
                  <c:v>96.6</c:v>
                </c:pt>
                <c:pt idx="66">
                  <c:v>97</c:v>
                </c:pt>
                <c:pt idx="67">
                  <c:v>95.2</c:v>
                </c:pt>
                <c:pt idx="68">
                  <c:v>98</c:v>
                </c:pt>
              </c:numCache>
            </c:numRef>
          </c:val>
          <c:smooth val="0"/>
        </c:ser>
        <c:dLbls>
          <c:showLegendKey val="0"/>
          <c:showVal val="0"/>
          <c:showCatName val="0"/>
          <c:showSerName val="0"/>
          <c:showPercent val="0"/>
          <c:showBubbleSize val="0"/>
        </c:dLbls>
        <c:marker val="1"/>
        <c:smooth val="0"/>
        <c:axId val="161836416"/>
        <c:axId val="161850496"/>
      </c:lineChart>
      <c:catAx>
        <c:axId val="161836416"/>
        <c:scaling>
          <c:orientation val="minMax"/>
        </c:scaling>
        <c:delete val="0"/>
        <c:axPos val="b"/>
        <c:majorTickMark val="out"/>
        <c:minorTickMark val="none"/>
        <c:tickLblPos val="nextTo"/>
        <c:crossAx val="161850496"/>
        <c:crosses val="autoZero"/>
        <c:auto val="1"/>
        <c:lblAlgn val="ctr"/>
        <c:lblOffset val="100"/>
        <c:noMultiLvlLbl val="0"/>
      </c:catAx>
      <c:valAx>
        <c:axId val="161850496"/>
        <c:scaling>
          <c:orientation val="minMax"/>
          <c:min val="60"/>
        </c:scaling>
        <c:delete val="0"/>
        <c:axPos val="l"/>
        <c:majorGridlines/>
        <c:numFmt formatCode="General" sourceLinked="1"/>
        <c:majorTickMark val="out"/>
        <c:minorTickMark val="none"/>
        <c:tickLblPos val="nextTo"/>
        <c:crossAx val="161836416"/>
        <c:crosses val="autoZero"/>
        <c:crossBetween val="between"/>
      </c:valAx>
    </c:plotArea>
    <c:legend>
      <c:legendPos val="r"/>
      <c:layout/>
      <c:overlay val="0"/>
    </c:legend>
    <c:plotVisOnly val="1"/>
    <c:dispBlanksAs val="gap"/>
    <c:showDLblsOverMax val="0"/>
  </c:chart>
  <c:externalData r:id="rId2">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ja-JP"/>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pPr>
            <a:r>
              <a:rPr lang="ja-JP"/>
              <a:t>一般信頼度とジニ係数</a:t>
            </a:r>
            <a:endParaRPr lang="en-US"/>
          </a:p>
        </c:rich>
      </c:tx>
      <c:layout>
        <c:manualLayout>
          <c:xMode val="edge"/>
          <c:yMode val="edge"/>
          <c:x val="0.42473506215146084"/>
          <c:y val="1.7094017094017096E-2"/>
        </c:manualLayout>
      </c:layout>
      <c:overlay val="0"/>
    </c:title>
    <c:autoTitleDeleted val="0"/>
    <c:plotArea>
      <c:layout>
        <c:manualLayout>
          <c:layoutTarget val="inner"/>
          <c:xMode val="edge"/>
          <c:yMode val="edge"/>
          <c:x val="4.7570356646595639E-2"/>
          <c:y val="0.10239321835317632"/>
          <c:w val="0.91174669787071516"/>
          <c:h val="0.80468896516140609"/>
        </c:manualLayout>
      </c:layout>
      <c:scatterChart>
        <c:scatterStyle val="lineMarker"/>
        <c:varyColors val="0"/>
        <c:ser>
          <c:idx val="0"/>
          <c:order val="0"/>
          <c:tx>
            <c:strRef>
              <c:f>Sheet2!$F$1</c:f>
              <c:strCache>
                <c:ptCount val="1"/>
                <c:pt idx="0">
                  <c:v>一般信頼度</c:v>
                </c:pt>
              </c:strCache>
            </c:strRef>
          </c:tx>
          <c:spPr>
            <a:ln w="28575">
              <a:noFill/>
            </a:ln>
          </c:spPr>
          <c:dLbls>
            <c:dLbl>
              <c:idx val="0"/>
              <c:layout>
                <c:manualLayout>
                  <c:x val="-4.8899755501222494E-3"/>
                  <c:y val="0"/>
                </c:manualLayout>
              </c:layout>
              <c:tx>
                <c:rich>
                  <a:bodyPr/>
                  <a:lstStyle/>
                  <a:p>
                    <a:r>
                      <a:rPr lang="ja-JP" altLang="en-US" sz="800"/>
                      <a:t>オーストラリア</a:t>
                    </a:r>
                    <a:endParaRPr lang="en-US" altLang="en-US"/>
                  </a:p>
                </c:rich>
              </c:tx>
              <c:showLegendKey val="0"/>
              <c:showVal val="1"/>
              <c:showCatName val="0"/>
              <c:showSerName val="0"/>
              <c:showPercent val="0"/>
              <c:showBubbleSize val="0"/>
            </c:dLbl>
            <c:dLbl>
              <c:idx val="1"/>
              <c:layout/>
              <c:tx>
                <c:rich>
                  <a:bodyPr/>
                  <a:lstStyle/>
                  <a:p>
                    <a:r>
                      <a:rPr lang="ja-JP" altLang="en-US" sz="800"/>
                      <a:t>オーストリア</a:t>
                    </a:r>
                    <a:endParaRPr lang="en-US" altLang="en-US"/>
                  </a:p>
                </c:rich>
              </c:tx>
              <c:showLegendKey val="0"/>
              <c:showVal val="1"/>
              <c:showCatName val="0"/>
              <c:showSerName val="0"/>
              <c:showPercent val="0"/>
              <c:showBubbleSize val="0"/>
            </c:dLbl>
            <c:dLbl>
              <c:idx val="2"/>
              <c:layout/>
              <c:tx>
                <c:rich>
                  <a:bodyPr/>
                  <a:lstStyle/>
                  <a:p>
                    <a:r>
                      <a:rPr lang="ja-JP" altLang="en-US" sz="800"/>
                      <a:t>ベルギー</a:t>
                    </a:r>
                    <a:endParaRPr lang="en-US" altLang="en-US"/>
                  </a:p>
                </c:rich>
              </c:tx>
              <c:showLegendKey val="0"/>
              <c:showVal val="1"/>
              <c:showCatName val="0"/>
              <c:showSerName val="0"/>
              <c:showPercent val="0"/>
              <c:showBubbleSize val="0"/>
            </c:dLbl>
            <c:dLbl>
              <c:idx val="3"/>
              <c:layout>
                <c:manualLayout>
                  <c:x val="1.6299918500407497E-3"/>
                  <c:y val="1.1396011396011397E-2"/>
                </c:manualLayout>
              </c:layout>
              <c:tx>
                <c:rich>
                  <a:bodyPr/>
                  <a:lstStyle/>
                  <a:p>
                    <a:r>
                      <a:rPr lang="ja-JP" altLang="en-US" sz="800"/>
                      <a:t>チェコ</a:t>
                    </a:r>
                    <a:endParaRPr lang="en-US" altLang="en-US"/>
                  </a:p>
                </c:rich>
              </c:tx>
              <c:showLegendKey val="0"/>
              <c:showVal val="1"/>
              <c:showCatName val="0"/>
              <c:showSerName val="0"/>
              <c:showPercent val="0"/>
              <c:showBubbleSize val="0"/>
            </c:dLbl>
            <c:dLbl>
              <c:idx val="4"/>
              <c:layout/>
              <c:tx>
                <c:rich>
                  <a:bodyPr/>
                  <a:lstStyle/>
                  <a:p>
                    <a:r>
                      <a:rPr lang="ja-JP" altLang="en-US" sz="800"/>
                      <a:t>デンマーク</a:t>
                    </a:r>
                    <a:endParaRPr lang="en-US" altLang="ja-JP"/>
                  </a:p>
                </c:rich>
              </c:tx>
              <c:showLegendKey val="0"/>
              <c:showVal val="1"/>
              <c:showCatName val="0"/>
              <c:showSerName val="0"/>
              <c:showPercent val="0"/>
              <c:showBubbleSize val="0"/>
            </c:dLbl>
            <c:dLbl>
              <c:idx val="5"/>
              <c:layout/>
              <c:tx>
                <c:rich>
                  <a:bodyPr/>
                  <a:lstStyle/>
                  <a:p>
                    <a:r>
                      <a:rPr lang="ja-JP" altLang="en-US" sz="800"/>
                      <a:t>フィンランド</a:t>
                    </a:r>
                    <a:endParaRPr lang="en-US" altLang="en-US"/>
                  </a:p>
                </c:rich>
              </c:tx>
              <c:showLegendKey val="0"/>
              <c:showVal val="1"/>
              <c:showCatName val="0"/>
              <c:showSerName val="0"/>
              <c:showPercent val="0"/>
              <c:showBubbleSize val="0"/>
            </c:dLbl>
            <c:dLbl>
              <c:idx val="6"/>
              <c:layout>
                <c:manualLayout>
                  <c:x val="1.3039934800325998E-2"/>
                  <c:y val="-1.7094017094017096E-2"/>
                </c:manualLayout>
              </c:layout>
              <c:tx>
                <c:rich>
                  <a:bodyPr/>
                  <a:lstStyle/>
                  <a:p>
                    <a:r>
                      <a:rPr lang="ja-JP" altLang="en-US" sz="800"/>
                      <a:t>フランス</a:t>
                    </a:r>
                    <a:endParaRPr lang="en-US" altLang="en-US"/>
                  </a:p>
                </c:rich>
              </c:tx>
              <c:showLegendKey val="0"/>
              <c:showVal val="1"/>
              <c:showCatName val="0"/>
              <c:showSerName val="0"/>
              <c:showPercent val="0"/>
              <c:showBubbleSize val="0"/>
            </c:dLbl>
            <c:dLbl>
              <c:idx val="7"/>
              <c:layout/>
              <c:tx>
                <c:rich>
                  <a:bodyPr/>
                  <a:lstStyle/>
                  <a:p>
                    <a:r>
                      <a:rPr lang="ja-JP" altLang="en-US" sz="800"/>
                      <a:t>ドイツ</a:t>
                    </a:r>
                    <a:endParaRPr lang="en-US" altLang="en-US"/>
                  </a:p>
                </c:rich>
              </c:tx>
              <c:showLegendKey val="0"/>
              <c:showVal val="1"/>
              <c:showCatName val="0"/>
              <c:showSerName val="0"/>
              <c:showPercent val="0"/>
              <c:showBubbleSize val="0"/>
            </c:dLbl>
            <c:dLbl>
              <c:idx val="8"/>
              <c:layout/>
              <c:tx>
                <c:rich>
                  <a:bodyPr/>
                  <a:lstStyle/>
                  <a:p>
                    <a:r>
                      <a:rPr lang="ja-JP" altLang="en-US" sz="800"/>
                      <a:t>ギリシャ</a:t>
                    </a:r>
                    <a:endParaRPr lang="en-US" altLang="en-US"/>
                  </a:p>
                </c:rich>
              </c:tx>
              <c:showLegendKey val="0"/>
              <c:showVal val="1"/>
              <c:showCatName val="0"/>
              <c:showSerName val="0"/>
              <c:showPercent val="0"/>
              <c:showBubbleSize val="0"/>
            </c:dLbl>
            <c:dLbl>
              <c:idx val="9"/>
              <c:layout>
                <c:manualLayout>
                  <c:x val="-6.0400151000377499E-3"/>
                  <c:y val="5.737704918032787E-2"/>
                </c:manualLayout>
              </c:layout>
              <c:tx>
                <c:rich>
                  <a:bodyPr/>
                  <a:lstStyle/>
                  <a:p>
                    <a:r>
                      <a:rPr lang="ja-JP" altLang="en-US" sz="800"/>
                      <a:t>ハンガリー</a:t>
                    </a:r>
                    <a:endParaRPr lang="en-US" altLang="en-US"/>
                  </a:p>
                </c:rich>
              </c:tx>
              <c:showLegendKey val="0"/>
              <c:showVal val="1"/>
              <c:showCatName val="0"/>
              <c:showSerName val="0"/>
              <c:showPercent val="0"/>
              <c:showBubbleSize val="0"/>
            </c:dLbl>
            <c:dLbl>
              <c:idx val="10"/>
              <c:layout>
                <c:manualLayout>
                  <c:x val="1.6610041525103814E-2"/>
                  <c:y val="-5.4644808743169399E-3"/>
                </c:manualLayout>
              </c:layout>
              <c:tx>
                <c:rich>
                  <a:bodyPr/>
                  <a:lstStyle/>
                  <a:p>
                    <a:r>
                      <a:rPr lang="ja-JP" altLang="en-US" sz="800"/>
                      <a:t>アイルランド</a:t>
                    </a:r>
                    <a:endParaRPr lang="en-US" altLang="en-US"/>
                  </a:p>
                </c:rich>
              </c:tx>
              <c:showLegendKey val="0"/>
              <c:showVal val="1"/>
              <c:showCatName val="0"/>
              <c:showSerName val="0"/>
              <c:showPercent val="0"/>
              <c:showBubbleSize val="0"/>
            </c:dLbl>
            <c:dLbl>
              <c:idx val="11"/>
              <c:layout/>
              <c:tx>
                <c:rich>
                  <a:bodyPr/>
                  <a:lstStyle/>
                  <a:p>
                    <a:r>
                      <a:rPr lang="ja-JP" altLang="en-US" sz="800"/>
                      <a:t>日本</a:t>
                    </a:r>
                    <a:endParaRPr lang="en-US" altLang="ja-JP"/>
                  </a:p>
                </c:rich>
              </c:tx>
              <c:showLegendKey val="0"/>
              <c:showVal val="1"/>
              <c:showCatName val="0"/>
              <c:showSerName val="0"/>
              <c:showPercent val="0"/>
              <c:showBubbleSize val="0"/>
            </c:dLbl>
            <c:dLbl>
              <c:idx val="12"/>
              <c:layout/>
              <c:tx>
                <c:rich>
                  <a:bodyPr/>
                  <a:lstStyle/>
                  <a:p>
                    <a:r>
                      <a:rPr lang="ja-JP" altLang="en-US" sz="800"/>
                      <a:t>韓国</a:t>
                    </a:r>
                    <a:endParaRPr lang="en-US" altLang="en-US"/>
                  </a:p>
                </c:rich>
              </c:tx>
              <c:showLegendKey val="0"/>
              <c:showVal val="1"/>
              <c:showCatName val="0"/>
              <c:showSerName val="0"/>
              <c:showPercent val="0"/>
              <c:showBubbleSize val="0"/>
            </c:dLbl>
            <c:dLbl>
              <c:idx val="13"/>
              <c:layout/>
              <c:tx>
                <c:rich>
                  <a:bodyPr/>
                  <a:lstStyle/>
                  <a:p>
                    <a:r>
                      <a:rPr lang="ja-JP" altLang="en-US" sz="800"/>
                      <a:t>メキシコ</a:t>
                    </a:r>
                    <a:endParaRPr lang="ja-JP" altLang="en-US"/>
                  </a:p>
                </c:rich>
              </c:tx>
              <c:showLegendKey val="0"/>
              <c:showVal val="1"/>
              <c:showCatName val="0"/>
              <c:showSerName val="0"/>
              <c:showPercent val="0"/>
              <c:showBubbleSize val="0"/>
            </c:dLbl>
            <c:dLbl>
              <c:idx val="14"/>
              <c:layout/>
              <c:tx>
                <c:rich>
                  <a:bodyPr/>
                  <a:lstStyle/>
                  <a:p>
                    <a:r>
                      <a:rPr lang="ja-JP" altLang="en-US" sz="800"/>
                      <a:t>オランダ</a:t>
                    </a:r>
                    <a:endParaRPr lang="en-US" altLang="en-US"/>
                  </a:p>
                </c:rich>
              </c:tx>
              <c:showLegendKey val="0"/>
              <c:showVal val="1"/>
              <c:showCatName val="0"/>
              <c:showSerName val="0"/>
              <c:showPercent val="0"/>
              <c:showBubbleSize val="0"/>
            </c:dLbl>
            <c:dLbl>
              <c:idx val="15"/>
              <c:layout>
                <c:manualLayout>
                  <c:x val="-3.2599435829298233E-3"/>
                  <c:y val="-6.0226109031453035E-2"/>
                </c:manualLayout>
              </c:layout>
              <c:tx>
                <c:rich>
                  <a:bodyPr/>
                  <a:lstStyle/>
                  <a:p>
                    <a:r>
                      <a:rPr lang="ja-JP" altLang="en-US" sz="800"/>
                      <a:t>ニュージーランド</a:t>
                    </a:r>
                    <a:endParaRPr lang="en-US" altLang="en-US"/>
                  </a:p>
                </c:rich>
              </c:tx>
              <c:showLegendKey val="0"/>
              <c:showVal val="1"/>
              <c:showCatName val="0"/>
              <c:showSerName val="0"/>
              <c:showPercent val="0"/>
              <c:showBubbleSize val="0"/>
            </c:dLbl>
            <c:dLbl>
              <c:idx val="16"/>
              <c:layout/>
              <c:tx>
                <c:rich>
                  <a:bodyPr/>
                  <a:lstStyle/>
                  <a:p>
                    <a:r>
                      <a:rPr lang="ja-JP" altLang="en-US" sz="800"/>
                      <a:t>ノルウェー</a:t>
                    </a:r>
                    <a:endParaRPr lang="en-US" altLang="ja-JP"/>
                  </a:p>
                </c:rich>
              </c:tx>
              <c:showLegendKey val="0"/>
              <c:showVal val="1"/>
              <c:showCatName val="0"/>
              <c:showSerName val="0"/>
              <c:showPercent val="0"/>
              <c:showBubbleSize val="0"/>
            </c:dLbl>
            <c:dLbl>
              <c:idx val="17"/>
              <c:layout/>
              <c:tx>
                <c:rich>
                  <a:bodyPr/>
                  <a:lstStyle/>
                  <a:p>
                    <a:r>
                      <a:rPr lang="ja-JP" altLang="en-US" sz="800"/>
                      <a:t>ポーランド</a:t>
                    </a:r>
                    <a:endParaRPr lang="en-US" altLang="en-US"/>
                  </a:p>
                </c:rich>
              </c:tx>
              <c:showLegendKey val="0"/>
              <c:showVal val="1"/>
              <c:showCatName val="0"/>
              <c:showSerName val="0"/>
              <c:showPercent val="0"/>
              <c:showBubbleSize val="0"/>
            </c:dLbl>
            <c:dLbl>
              <c:idx val="18"/>
              <c:layout/>
              <c:tx>
                <c:rich>
                  <a:bodyPr/>
                  <a:lstStyle/>
                  <a:p>
                    <a:r>
                      <a:rPr lang="ja-JP" altLang="en-US" sz="800"/>
                      <a:t>ポルトガル</a:t>
                    </a:r>
                    <a:endParaRPr lang="en-US" altLang="en-US"/>
                  </a:p>
                </c:rich>
              </c:tx>
              <c:showLegendKey val="0"/>
              <c:showVal val="1"/>
              <c:showCatName val="0"/>
              <c:showSerName val="0"/>
              <c:showPercent val="0"/>
              <c:showBubbleSize val="0"/>
            </c:dLbl>
            <c:dLbl>
              <c:idx val="19"/>
              <c:layout/>
              <c:tx>
                <c:rich>
                  <a:bodyPr/>
                  <a:lstStyle/>
                  <a:p>
                    <a:r>
                      <a:rPr lang="ja-JP" altLang="en-US" sz="800"/>
                      <a:t>スロベキア</a:t>
                    </a:r>
                    <a:endParaRPr lang="en-US" altLang="en-US"/>
                  </a:p>
                </c:rich>
              </c:tx>
              <c:showLegendKey val="0"/>
              <c:showVal val="1"/>
              <c:showCatName val="0"/>
              <c:showSerName val="0"/>
              <c:showPercent val="0"/>
              <c:showBubbleSize val="0"/>
            </c:dLbl>
            <c:dLbl>
              <c:idx val="20"/>
              <c:layout>
                <c:manualLayout>
                  <c:x val="4.8899755501222497E-2"/>
                  <c:y val="-1.7094017094017096E-2"/>
                </c:manualLayout>
              </c:layout>
              <c:tx>
                <c:rich>
                  <a:bodyPr/>
                  <a:lstStyle/>
                  <a:p>
                    <a:r>
                      <a:rPr lang="ja-JP" altLang="en-US" sz="800"/>
                      <a:t>スペイン</a:t>
                    </a:r>
                    <a:endParaRPr lang="en-US" altLang="en-US"/>
                  </a:p>
                </c:rich>
              </c:tx>
              <c:showLegendKey val="0"/>
              <c:showVal val="1"/>
              <c:showCatName val="0"/>
              <c:showSerName val="0"/>
              <c:showPercent val="0"/>
              <c:showBubbleSize val="0"/>
            </c:dLbl>
            <c:dLbl>
              <c:idx val="21"/>
              <c:layout>
                <c:manualLayout>
                  <c:x val="3.2599837000814994E-3"/>
                  <c:y val="0"/>
                </c:manualLayout>
              </c:layout>
              <c:tx>
                <c:rich>
                  <a:bodyPr/>
                  <a:lstStyle/>
                  <a:p>
                    <a:r>
                      <a:rPr lang="ja-JP" altLang="en-US" sz="800"/>
                      <a:t>スウェーデン</a:t>
                    </a:r>
                    <a:endParaRPr lang="en-US" altLang="en-US"/>
                  </a:p>
                </c:rich>
              </c:tx>
              <c:showLegendKey val="0"/>
              <c:showVal val="1"/>
              <c:showCatName val="0"/>
              <c:showSerName val="0"/>
              <c:showPercent val="0"/>
              <c:showBubbleSize val="0"/>
            </c:dLbl>
            <c:dLbl>
              <c:idx val="22"/>
              <c:layout>
                <c:manualLayout>
                  <c:x val="0"/>
                  <c:y val="5.6980056980056983E-3"/>
                </c:manualLayout>
              </c:layout>
              <c:tx>
                <c:rich>
                  <a:bodyPr/>
                  <a:lstStyle/>
                  <a:p>
                    <a:r>
                      <a:rPr lang="ja-JP" altLang="en-US" sz="800"/>
                      <a:t>スイス</a:t>
                    </a:r>
                    <a:endParaRPr lang="en-US" altLang="en-US"/>
                  </a:p>
                </c:rich>
              </c:tx>
              <c:showLegendKey val="0"/>
              <c:showVal val="1"/>
              <c:showCatName val="0"/>
              <c:showSerName val="0"/>
              <c:showPercent val="0"/>
              <c:showBubbleSize val="0"/>
            </c:dLbl>
            <c:dLbl>
              <c:idx val="23"/>
              <c:layout/>
              <c:tx>
                <c:rich>
                  <a:bodyPr/>
                  <a:lstStyle/>
                  <a:p>
                    <a:r>
                      <a:rPr lang="ja-JP" altLang="en-US" sz="800"/>
                      <a:t>トルコ</a:t>
                    </a:r>
                    <a:endParaRPr lang="en-US" altLang="en-US"/>
                  </a:p>
                </c:rich>
              </c:tx>
              <c:showLegendKey val="0"/>
              <c:showVal val="1"/>
              <c:showCatName val="0"/>
              <c:showSerName val="0"/>
              <c:showPercent val="0"/>
              <c:showBubbleSize val="0"/>
            </c:dLbl>
            <c:dLbl>
              <c:idx val="24"/>
              <c:layout>
                <c:manualLayout>
                  <c:x val="3.9119804400977995E-2"/>
                  <c:y val="1.1396011396011449E-2"/>
                </c:manualLayout>
              </c:layout>
              <c:tx>
                <c:rich>
                  <a:bodyPr/>
                  <a:lstStyle/>
                  <a:p>
                    <a:r>
                      <a:rPr lang="ja-JP" altLang="en-US" sz="800"/>
                      <a:t>英国</a:t>
                    </a:r>
                    <a:endParaRPr lang="en-US" altLang="en-US"/>
                  </a:p>
                </c:rich>
              </c:tx>
              <c:showLegendKey val="0"/>
              <c:showVal val="1"/>
              <c:showCatName val="0"/>
              <c:showSerName val="0"/>
              <c:showPercent val="0"/>
              <c:showBubbleSize val="0"/>
            </c:dLbl>
            <c:dLbl>
              <c:idx val="25"/>
              <c:layout/>
              <c:tx>
                <c:rich>
                  <a:bodyPr/>
                  <a:lstStyle/>
                  <a:p>
                    <a:r>
                      <a:rPr lang="ja-JP" altLang="en-US" sz="800"/>
                      <a:t>アメリカ</a:t>
                    </a:r>
                    <a:endParaRPr lang="en-US" altLang="en-US"/>
                  </a:p>
                </c:rich>
              </c:tx>
              <c:showLegendKey val="0"/>
              <c:showVal val="1"/>
              <c:showCatName val="0"/>
              <c:showSerName val="0"/>
              <c:showPercent val="0"/>
              <c:showBubbleSize val="0"/>
            </c:dLbl>
            <c:dLbl>
              <c:idx val="26"/>
              <c:layout>
                <c:manualLayout>
                  <c:x val="-2.627002315537285E-2"/>
                  <c:y val="5.0464696011359236E-2"/>
                </c:manualLayout>
              </c:layout>
              <c:tx>
                <c:rich>
                  <a:bodyPr/>
                  <a:lstStyle/>
                  <a:p>
                    <a:r>
                      <a:rPr lang="en-US" altLang="ja-JP" sz="800"/>
                      <a:t>OECD</a:t>
                    </a:r>
                    <a:r>
                      <a:rPr lang="ja-JP" altLang="en-US" sz="800"/>
                      <a:t>平均</a:t>
                    </a:r>
                    <a:endParaRPr lang="en-US" altLang="en-US"/>
                  </a:p>
                </c:rich>
              </c:tx>
              <c:showLegendKey val="0"/>
              <c:showVal val="1"/>
              <c:showCatName val="0"/>
              <c:showSerName val="0"/>
              <c:showPercent val="0"/>
              <c:showBubbleSize val="0"/>
            </c:dLbl>
            <c:txPr>
              <a:bodyPr/>
              <a:lstStyle/>
              <a:p>
                <a:pPr>
                  <a:defRPr sz="800"/>
                </a:pPr>
                <a:endParaRPr lang="ja-JP"/>
              </a:p>
            </c:txPr>
            <c:showLegendKey val="0"/>
            <c:showVal val="1"/>
            <c:showCatName val="0"/>
            <c:showSerName val="0"/>
            <c:showPercent val="0"/>
            <c:showBubbleSize val="0"/>
            <c:showLeaderLines val="0"/>
          </c:dLbls>
          <c:xVal>
            <c:numRef>
              <c:f>Sheet2!$E$2:$E$28</c:f>
              <c:numCache>
                <c:formatCode>General</c:formatCode>
                <c:ptCount val="27"/>
                <c:pt idx="0">
                  <c:v>0.30105794388081336</c:v>
                </c:pt>
                <c:pt idx="1">
                  <c:v>0.26530465649051754</c:v>
                </c:pt>
                <c:pt idx="2">
                  <c:v>0.27101305999999997</c:v>
                </c:pt>
                <c:pt idx="3">
                  <c:v>0.26800000000000002</c:v>
                </c:pt>
                <c:pt idx="4">
                  <c:v>0.2324</c:v>
                </c:pt>
                <c:pt idx="5">
                  <c:v>0.26907999999999999</c:v>
                </c:pt>
                <c:pt idx="6">
                  <c:v>0.27</c:v>
                </c:pt>
                <c:pt idx="7">
                  <c:v>0.29812840000000002</c:v>
                </c:pt>
                <c:pt idx="8">
                  <c:v>0.32079342178272008</c:v>
                </c:pt>
                <c:pt idx="9">
                  <c:v>0.29070000000000001</c:v>
                </c:pt>
                <c:pt idx="10">
                  <c:v>0.3284417738</c:v>
                </c:pt>
                <c:pt idx="11">
                  <c:v>0.32051844795400641</c:v>
                </c:pt>
                <c:pt idx="12">
                  <c:v>0.31239574260000003</c:v>
                </c:pt>
                <c:pt idx="13">
                  <c:v>0.47364041605648188</c:v>
                </c:pt>
                <c:pt idx="14">
                  <c:v>0.2711803093911696</c:v>
                </c:pt>
                <c:pt idx="15">
                  <c:v>0.33500000000000002</c:v>
                </c:pt>
                <c:pt idx="16">
                  <c:v>0.27600000000000002</c:v>
                </c:pt>
                <c:pt idx="17">
                  <c:v>0.37209999999999999</c:v>
                </c:pt>
                <c:pt idx="18">
                  <c:v>0.38463998999999999</c:v>
                </c:pt>
                <c:pt idx="19">
                  <c:v>0.26800000000000002</c:v>
                </c:pt>
                <c:pt idx="20">
                  <c:v>0.31869999999999998</c:v>
                </c:pt>
                <c:pt idx="21">
                  <c:v>0.23414336669999999</c:v>
                </c:pt>
                <c:pt idx="22">
                  <c:v>0.27561418980000002</c:v>
                </c:pt>
                <c:pt idx="23">
                  <c:v>0.43</c:v>
                </c:pt>
                <c:pt idx="24">
                  <c:v>0.33500000000000002</c:v>
                </c:pt>
                <c:pt idx="25">
                  <c:v>0.38140683510000001</c:v>
                </c:pt>
                <c:pt idx="26">
                  <c:v>0.31032129285185694</c:v>
                </c:pt>
              </c:numCache>
            </c:numRef>
          </c:xVal>
          <c:yVal>
            <c:numRef>
              <c:f>Sheet2!$F$2:$F$28</c:f>
              <c:numCache>
                <c:formatCode>General</c:formatCode>
                <c:ptCount val="27"/>
                <c:pt idx="0">
                  <c:v>63.9</c:v>
                </c:pt>
                <c:pt idx="1">
                  <c:v>61.800000000000004</c:v>
                </c:pt>
                <c:pt idx="2">
                  <c:v>68.600000000000009</c:v>
                </c:pt>
                <c:pt idx="3">
                  <c:v>55.7</c:v>
                </c:pt>
                <c:pt idx="4">
                  <c:v>88.8</c:v>
                </c:pt>
                <c:pt idx="5">
                  <c:v>85.5</c:v>
                </c:pt>
                <c:pt idx="6">
                  <c:v>55.800000000000004</c:v>
                </c:pt>
                <c:pt idx="7">
                  <c:v>61.099999999999994</c:v>
                </c:pt>
                <c:pt idx="8">
                  <c:v>40.4</c:v>
                </c:pt>
                <c:pt idx="9">
                  <c:v>46.8</c:v>
                </c:pt>
                <c:pt idx="10">
                  <c:v>55.8</c:v>
                </c:pt>
                <c:pt idx="11">
                  <c:v>60.7</c:v>
                </c:pt>
                <c:pt idx="12">
                  <c:v>46.199999999999996</c:v>
                </c:pt>
                <c:pt idx="13">
                  <c:v>26.1</c:v>
                </c:pt>
                <c:pt idx="14">
                  <c:v>79.700000000000017</c:v>
                </c:pt>
                <c:pt idx="15">
                  <c:v>69.099999999999994</c:v>
                </c:pt>
                <c:pt idx="16">
                  <c:v>88.3</c:v>
                </c:pt>
                <c:pt idx="17">
                  <c:v>47.400000000000006</c:v>
                </c:pt>
                <c:pt idx="18">
                  <c:v>38.099999999999994</c:v>
                </c:pt>
                <c:pt idx="19">
                  <c:v>47</c:v>
                </c:pt>
                <c:pt idx="20">
                  <c:v>61.900000000000006</c:v>
                </c:pt>
                <c:pt idx="21">
                  <c:v>83.7</c:v>
                </c:pt>
                <c:pt idx="22">
                  <c:v>74.2</c:v>
                </c:pt>
                <c:pt idx="23">
                  <c:v>23.5</c:v>
                </c:pt>
                <c:pt idx="24">
                  <c:v>68.900000000000006</c:v>
                </c:pt>
                <c:pt idx="25">
                  <c:v>48.7</c:v>
                </c:pt>
                <c:pt idx="26">
                  <c:v>58.58</c:v>
                </c:pt>
              </c:numCache>
            </c:numRef>
          </c:yVal>
          <c:smooth val="0"/>
        </c:ser>
        <c:dLbls>
          <c:showLegendKey val="0"/>
          <c:showVal val="0"/>
          <c:showCatName val="0"/>
          <c:showSerName val="0"/>
          <c:showPercent val="0"/>
          <c:showBubbleSize val="0"/>
        </c:dLbls>
        <c:axId val="161859072"/>
        <c:axId val="161860608"/>
      </c:scatterChart>
      <c:valAx>
        <c:axId val="161859072"/>
        <c:scaling>
          <c:orientation val="minMax"/>
          <c:min val="0.15000000000000002"/>
        </c:scaling>
        <c:delete val="0"/>
        <c:axPos val="b"/>
        <c:numFmt formatCode="General" sourceLinked="1"/>
        <c:majorTickMark val="out"/>
        <c:minorTickMark val="none"/>
        <c:tickLblPos val="nextTo"/>
        <c:crossAx val="161860608"/>
        <c:crosses val="autoZero"/>
        <c:crossBetween val="midCat"/>
      </c:valAx>
      <c:valAx>
        <c:axId val="161860608"/>
        <c:scaling>
          <c:orientation val="minMax"/>
          <c:max val="95"/>
          <c:min val="20"/>
        </c:scaling>
        <c:delete val="0"/>
        <c:axPos val="l"/>
        <c:majorGridlines/>
        <c:numFmt formatCode="General" sourceLinked="1"/>
        <c:majorTickMark val="out"/>
        <c:minorTickMark val="none"/>
        <c:tickLblPos val="nextTo"/>
        <c:crossAx val="161859072"/>
        <c:crosses val="autoZero"/>
        <c:crossBetween val="midCat"/>
      </c:valAx>
    </c:plotArea>
    <c:plotVisOnly val="1"/>
    <c:dispBlanksAs val="gap"/>
    <c:showDLblsOverMax val="0"/>
  </c:chart>
  <c:txPr>
    <a:bodyPr/>
    <a:lstStyle/>
    <a:p>
      <a:pPr>
        <a:defRPr sz="900"/>
      </a:pPr>
      <a:endParaRPr lang="ja-JP"/>
    </a:p>
  </c:txPr>
  <c:externalData r:id="rId2">
    <c:autoUpdate val="0"/>
  </c:externalData>
  <c:userShapes r:id="rId3"/>
</c:chartSpace>
</file>

<file path=word/drawings/drawing1.xml><?xml version="1.0" encoding="utf-8"?>
<c:userShapes xmlns:c="http://schemas.openxmlformats.org/drawingml/2006/chart">
  <cdr:relSizeAnchor xmlns:cdr="http://schemas.openxmlformats.org/drawingml/2006/chartDrawing">
    <cdr:from>
      <cdr:x>0.04034</cdr:x>
      <cdr:y>0.01282</cdr:y>
    </cdr:from>
    <cdr:to>
      <cdr:x>0.18471</cdr:x>
      <cdr:y>0.0812</cdr:y>
    </cdr:to>
    <cdr:sp macro="" textlink="">
      <cdr:nvSpPr>
        <cdr:cNvPr id="2" name="テキスト ボックス 1"/>
        <cdr:cNvSpPr txBox="1"/>
      </cdr:nvSpPr>
      <cdr:spPr>
        <a:xfrm xmlns:a="http://schemas.openxmlformats.org/drawingml/2006/main">
          <a:off x="217735" y="37203"/>
          <a:ext cx="779216" cy="19843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ja-JP" altLang="en-US" sz="800"/>
            <a:t>一般信頼度</a:t>
          </a:r>
        </a:p>
      </cdr:txBody>
    </cdr:sp>
  </cdr:relSizeAnchor>
  <cdr:relSizeAnchor xmlns:cdr="http://schemas.openxmlformats.org/drawingml/2006/chartDrawing">
    <cdr:from>
      <cdr:x>0.84963</cdr:x>
      <cdr:y>0.91466</cdr:y>
    </cdr:from>
    <cdr:to>
      <cdr:x>1</cdr:x>
      <cdr:y>1</cdr:y>
    </cdr:to>
    <cdr:sp macro="" textlink="">
      <cdr:nvSpPr>
        <cdr:cNvPr id="3" name="テキスト ボックス 2"/>
        <cdr:cNvSpPr txBox="1"/>
      </cdr:nvSpPr>
      <cdr:spPr>
        <a:xfrm xmlns:a="http://schemas.openxmlformats.org/drawingml/2006/main">
          <a:off x="4585878" y="2654301"/>
          <a:ext cx="811622" cy="247649"/>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ja-JP" altLang="en-US" sz="800"/>
            <a:t>ジニ係数</a:t>
          </a:r>
        </a:p>
      </cdr:txBody>
    </cdr:sp>
  </cdr:relSizeAnchor>
</c:userShape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docProps/app.xml><?xml version="1.0" encoding="utf-8"?>
<Properties xmlns="http://schemas.openxmlformats.org/officeDocument/2006/extended-properties" xmlns:vt="http://schemas.openxmlformats.org/officeDocument/2006/docPropsVTypes">
  <Template>Normal.dotm</Template>
  <TotalTime>95</TotalTime>
  <Pages>17</Pages>
  <Words>2184</Words>
  <Characters>12453</Characters>
  <Application>Microsoft Office Word</Application>
  <DocSecurity>0</DocSecurity>
  <Lines>103</Lines>
  <Paragraphs>29</Paragraphs>
  <ScaleCrop>false</ScaleCrop>
  <HeadingPairs>
    <vt:vector size="2" baseType="variant">
      <vt:variant>
        <vt:lpstr>タイトル</vt:lpstr>
      </vt:variant>
      <vt:variant>
        <vt:i4>1</vt:i4>
      </vt:variant>
    </vt:vector>
  </HeadingPairs>
  <TitlesOfParts>
    <vt:vector size="1" baseType="lpstr">
      <vt:lpstr/>
    </vt:vector>
  </TitlesOfParts>
  <Company>Hewlett-Packard Company</Company>
  <LinksUpToDate>false</LinksUpToDate>
  <CharactersWithSpaces>14608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大門正彦</dc:creator>
  <cp:lastModifiedBy>大門正彦</cp:lastModifiedBy>
  <cp:revision>10</cp:revision>
  <dcterms:created xsi:type="dcterms:W3CDTF">2014-11-27T07:08:00Z</dcterms:created>
  <dcterms:modified xsi:type="dcterms:W3CDTF">2014-12-05T01:40:00Z</dcterms:modified>
</cp:coreProperties>
</file>